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65F1" w14:textId="4300AFB8" w:rsidR="005E62E5" w:rsidRPr="00544161" w:rsidRDefault="00B2035C">
      <w:pPr>
        <w:pStyle w:val="Heading1"/>
        <w:spacing w:after="0"/>
        <w:rPr>
          <w:rFonts w:asciiTheme="minorHAnsi" w:hAnsiTheme="minorHAnsi" w:cstheme="minorHAnsi"/>
          <w:b w:val="0"/>
          <w:bCs w:val="0"/>
        </w:rPr>
      </w:pPr>
      <w:r w:rsidRPr="00544161">
        <w:rPr>
          <w:rFonts w:asciiTheme="minorHAnsi" w:hAnsiTheme="minorHAnsi" w:cstheme="minorHAnsi"/>
          <w:b w:val="0"/>
          <w:bCs w:val="0"/>
          <w:noProof/>
        </w:rPr>
        <w:drawing>
          <wp:inline distT="0" distB="0" distL="0" distR="0" wp14:anchorId="0C620707" wp14:editId="7DEE7F95">
            <wp:extent cx="3200400" cy="654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R-HOR-Tex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985" cy="670079"/>
                    </a:xfrm>
                    <a:prstGeom prst="rect">
                      <a:avLst/>
                    </a:prstGeom>
                  </pic:spPr>
                </pic:pic>
              </a:graphicData>
            </a:graphic>
          </wp:inline>
        </w:drawing>
      </w:r>
    </w:p>
    <w:p w14:paraId="0FA7CBE3" w14:textId="77777777" w:rsidR="005E62E5" w:rsidRPr="00544161" w:rsidRDefault="005E62E5">
      <w:pPr>
        <w:rPr>
          <w:rFonts w:asciiTheme="minorHAnsi" w:hAnsiTheme="minorHAnsi" w:cstheme="minorHAnsi"/>
        </w:rPr>
      </w:pPr>
    </w:p>
    <w:p w14:paraId="616E8E0D" w14:textId="5E901B4D" w:rsidR="005E62E5" w:rsidRPr="00544161" w:rsidRDefault="00B2035C" w:rsidP="00581D7C">
      <w:pPr>
        <w:pStyle w:val="Heading1"/>
        <w:tabs>
          <w:tab w:val="right" w:pos="9617"/>
        </w:tabs>
        <w:jc w:val="left"/>
        <w:rPr>
          <w:rFonts w:asciiTheme="minorHAnsi" w:hAnsiTheme="minorHAnsi" w:cstheme="minorHAnsi"/>
          <w:b w:val="0"/>
          <w:bCs w:val="0"/>
        </w:rPr>
      </w:pPr>
      <w:r w:rsidRPr="00544161">
        <w:rPr>
          <w:rFonts w:asciiTheme="minorHAnsi" w:hAnsiTheme="minorHAnsi" w:cstheme="minorHAnsi"/>
          <w:b w:val="0"/>
          <w:bCs w:val="0"/>
        </w:rPr>
        <w:t>Communiqué de presse</w:t>
      </w:r>
      <w:r w:rsidRPr="00544161">
        <w:rPr>
          <w:rFonts w:asciiTheme="minorHAnsi" w:hAnsiTheme="minorHAnsi" w:cstheme="minorHAnsi"/>
          <w:b w:val="0"/>
          <w:bCs w:val="0"/>
        </w:rPr>
        <w:tab/>
      </w:r>
    </w:p>
    <w:p w14:paraId="0FA8D183" w14:textId="73641460" w:rsidR="005E62E5" w:rsidRPr="00544161" w:rsidRDefault="00B2035C" w:rsidP="00581D7C">
      <w:pPr>
        <w:pStyle w:val="Heading1"/>
        <w:tabs>
          <w:tab w:val="right" w:pos="9617"/>
        </w:tabs>
        <w:spacing w:before="360" w:after="480"/>
        <w:rPr>
          <w:rFonts w:asciiTheme="minorHAnsi" w:hAnsiTheme="minorHAnsi" w:cstheme="minorHAnsi"/>
          <w:b w:val="0"/>
          <w:bCs w:val="0"/>
          <w:color w:val="auto"/>
        </w:rPr>
      </w:pPr>
      <w:r w:rsidRPr="00544161">
        <w:rPr>
          <w:rFonts w:asciiTheme="minorHAnsi" w:hAnsiTheme="minorHAnsi" w:cstheme="minorHAnsi"/>
          <w:b w:val="0"/>
          <w:bCs w:val="0"/>
          <w:color w:val="auto"/>
          <w:sz w:val="20"/>
          <w:szCs w:val="20"/>
        </w:rPr>
        <w:t>Le Forum économique mondial, Davos, Suisse – le 22 janvier 2020</w:t>
      </w:r>
    </w:p>
    <w:p w14:paraId="5FF4EB2F" w14:textId="617A43AA" w:rsidR="005E62E5" w:rsidRPr="00544161" w:rsidRDefault="00B2035C">
      <w:pPr>
        <w:rPr>
          <w:rFonts w:asciiTheme="minorHAnsi" w:hAnsiTheme="minorHAnsi" w:cstheme="minorHAnsi"/>
          <w:b/>
          <w:bCs/>
          <w:sz w:val="20"/>
          <w:szCs w:val="20"/>
        </w:rPr>
      </w:pPr>
      <w:r w:rsidRPr="00544161">
        <w:rPr>
          <w:rFonts w:asciiTheme="minorHAnsi" w:hAnsiTheme="minorHAnsi" w:cstheme="minorHAnsi"/>
          <w:b/>
          <w:bCs/>
          <w:sz w:val="20"/>
          <w:szCs w:val="20"/>
        </w:rPr>
        <w:t xml:space="preserve">Le </w:t>
      </w:r>
      <w:r w:rsidRPr="00544161">
        <w:rPr>
          <w:rFonts w:asciiTheme="minorHAnsi" w:eastAsia="Times New Roman" w:hAnsiTheme="minorHAnsi" w:cstheme="minorHAnsi"/>
          <w:b/>
          <w:bCs/>
          <w:sz w:val="20"/>
          <w:szCs w:val="20"/>
        </w:rPr>
        <w:t>Positive Impact Rating (</w:t>
      </w:r>
      <w:r w:rsidRPr="00544161">
        <w:rPr>
          <w:rFonts w:asciiTheme="minorHAnsi" w:hAnsiTheme="minorHAnsi" w:cstheme="minorHAnsi"/>
          <w:b/>
          <w:bCs/>
          <w:sz w:val="20"/>
          <w:szCs w:val="20"/>
        </w:rPr>
        <w:t>PIR</w:t>
      </w:r>
      <w:r w:rsidRPr="00544161">
        <w:rPr>
          <w:rFonts w:asciiTheme="minorHAnsi" w:eastAsia="Times New Roman" w:hAnsiTheme="minorHAnsi" w:cstheme="minorHAnsi"/>
          <w:b/>
          <w:bCs/>
          <w:sz w:val="20"/>
          <w:szCs w:val="20"/>
        </w:rPr>
        <w:t>)</w:t>
      </w:r>
      <w:r w:rsidRPr="00544161">
        <w:rPr>
          <w:rFonts w:asciiTheme="minorHAnsi" w:hAnsiTheme="minorHAnsi" w:cstheme="minorHAnsi"/>
          <w:b/>
          <w:bCs/>
          <w:sz w:val="20"/>
          <w:szCs w:val="20"/>
        </w:rPr>
        <w:t xml:space="preserve"> est une nouvelle évaluation réalisée par les étudiants pour les étudiants. C’est la première fois que des étudiants à travers le monde évaluent leurs écoles de commerce sur la manière dont ils perçoivent leur impact positif sur la planète. L’impact positif des écoles de commerce va bien au-delà de la contribution qu’elles apportent au commerce et à l’économie ; il concerne aussi leur influence sur la société. </w:t>
      </w:r>
    </w:p>
    <w:p w14:paraId="2A82AFD8" w14:textId="77777777" w:rsidR="00D85CD7" w:rsidRPr="00544161" w:rsidRDefault="00D85CD7">
      <w:pPr>
        <w:rPr>
          <w:rFonts w:asciiTheme="minorHAnsi" w:hAnsiTheme="minorHAnsi" w:cstheme="minorHAnsi"/>
          <w:b/>
          <w:bCs/>
          <w:sz w:val="20"/>
          <w:szCs w:val="20"/>
        </w:rPr>
      </w:pPr>
    </w:p>
    <w:p w14:paraId="0DAB9013" w14:textId="4343810B" w:rsidR="00310495" w:rsidRPr="00544161" w:rsidRDefault="00310495" w:rsidP="00581D7C">
      <w:pPr>
        <w:shd w:val="clear" w:color="auto" w:fill="7DE3FF"/>
        <w:tabs>
          <w:tab w:val="right" w:pos="9050"/>
        </w:tabs>
        <w:ind w:left="709" w:right="567"/>
        <w:jc w:val="left"/>
        <w:rPr>
          <w:rFonts w:asciiTheme="minorHAnsi" w:hAnsiTheme="minorHAnsi" w:cstheme="minorHAnsi"/>
          <w:i/>
          <w:iCs/>
          <w:sz w:val="20"/>
          <w:szCs w:val="20"/>
          <w:lang w:val="de-CH"/>
        </w:rPr>
      </w:pPr>
      <w:r w:rsidRPr="00544161">
        <w:rPr>
          <w:rFonts w:asciiTheme="minorHAnsi" w:hAnsiTheme="minorHAnsi" w:cstheme="minorHAnsi"/>
          <w:i/>
          <w:iCs/>
          <w:sz w:val="20"/>
          <w:szCs w:val="20"/>
          <w:lang w:val="fr-CH"/>
        </w:rPr>
        <w:t xml:space="preserve">"Les générations futures seront reconnaissantes aux étudiants ayant choisis des écoles de commerce </w:t>
      </w:r>
      <w:proofErr w:type="gramStart"/>
      <w:r w:rsidRPr="00544161">
        <w:rPr>
          <w:rFonts w:asciiTheme="minorHAnsi" w:hAnsiTheme="minorHAnsi" w:cstheme="minorHAnsi"/>
          <w:i/>
          <w:iCs/>
          <w:sz w:val="20"/>
          <w:szCs w:val="20"/>
          <w:lang w:val="fr-CH"/>
        </w:rPr>
        <w:t>du</w:t>
      </w:r>
      <w:proofErr w:type="gramEnd"/>
      <w:r w:rsidRPr="00544161">
        <w:rPr>
          <w:rFonts w:asciiTheme="minorHAnsi" w:hAnsiTheme="minorHAnsi" w:cstheme="minorHAnsi"/>
          <w:i/>
          <w:iCs/>
          <w:sz w:val="20"/>
          <w:szCs w:val="20"/>
          <w:lang w:val="fr-CH"/>
        </w:rPr>
        <w:t xml:space="preserve"> PIR. De tels leaders éclairés sont la clef pour que les entreprises puissent avoir un impact positif sur le monde."                                   </w:t>
      </w:r>
      <w:r w:rsidR="00581D7C" w:rsidRPr="00544161">
        <w:rPr>
          <w:rFonts w:asciiTheme="minorHAnsi" w:hAnsiTheme="minorHAnsi" w:cstheme="minorHAnsi"/>
          <w:i/>
          <w:iCs/>
          <w:sz w:val="20"/>
          <w:szCs w:val="20"/>
          <w:lang w:val="fr-CH"/>
        </w:rPr>
        <w:tab/>
      </w:r>
      <w:r w:rsidRPr="00544161">
        <w:rPr>
          <w:rFonts w:asciiTheme="minorHAnsi" w:hAnsiTheme="minorHAnsi" w:cstheme="minorHAnsi"/>
          <w:i/>
          <w:iCs/>
          <w:sz w:val="20"/>
          <w:szCs w:val="20"/>
          <w:lang w:val="de-CH"/>
        </w:rPr>
        <w:t xml:space="preserve">Antonio Hautle, </w:t>
      </w:r>
      <w:proofErr w:type="spellStart"/>
      <w:r w:rsidRPr="00544161">
        <w:rPr>
          <w:rFonts w:asciiTheme="minorHAnsi" w:hAnsiTheme="minorHAnsi" w:cstheme="minorHAnsi"/>
          <w:i/>
          <w:iCs/>
          <w:sz w:val="20"/>
          <w:szCs w:val="20"/>
          <w:lang w:val="de-CH"/>
        </w:rPr>
        <w:t>Directeur</w:t>
      </w:r>
      <w:proofErr w:type="spellEnd"/>
      <w:r w:rsidRPr="00544161">
        <w:rPr>
          <w:rFonts w:asciiTheme="minorHAnsi" w:hAnsiTheme="minorHAnsi" w:cstheme="minorHAnsi"/>
          <w:i/>
          <w:iCs/>
          <w:sz w:val="20"/>
          <w:szCs w:val="20"/>
          <w:lang w:val="de-CH"/>
        </w:rPr>
        <w:t xml:space="preserve"> </w:t>
      </w:r>
      <w:proofErr w:type="spellStart"/>
      <w:r w:rsidRPr="00544161">
        <w:rPr>
          <w:rFonts w:asciiTheme="minorHAnsi" w:hAnsiTheme="minorHAnsi" w:cstheme="minorHAnsi"/>
          <w:i/>
          <w:iCs/>
          <w:sz w:val="20"/>
          <w:szCs w:val="20"/>
          <w:lang w:val="de-CH"/>
        </w:rPr>
        <w:t>Exécutif</w:t>
      </w:r>
      <w:proofErr w:type="spellEnd"/>
      <w:r w:rsidRPr="00544161">
        <w:rPr>
          <w:rFonts w:asciiTheme="minorHAnsi" w:hAnsiTheme="minorHAnsi" w:cstheme="minorHAnsi"/>
          <w:i/>
          <w:iCs/>
          <w:sz w:val="20"/>
          <w:szCs w:val="20"/>
          <w:lang w:val="de-CH"/>
        </w:rPr>
        <w:t>, UN Global Compact Switzerland</w:t>
      </w:r>
    </w:p>
    <w:p w14:paraId="3506E1B1" w14:textId="77777777" w:rsidR="00310495" w:rsidRPr="00544161" w:rsidRDefault="00310495" w:rsidP="00310495">
      <w:pPr>
        <w:rPr>
          <w:rFonts w:asciiTheme="minorHAnsi" w:hAnsiTheme="minorHAnsi" w:cstheme="minorHAnsi"/>
          <w:b/>
          <w:bCs/>
          <w:sz w:val="20"/>
          <w:szCs w:val="20"/>
          <w:lang w:val="fr-CH"/>
        </w:rPr>
      </w:pPr>
    </w:p>
    <w:p w14:paraId="74801330" w14:textId="77777777" w:rsidR="00310495" w:rsidRPr="00544161" w:rsidRDefault="00310495" w:rsidP="00310495">
      <w:pPr>
        <w:rPr>
          <w:rFonts w:asciiTheme="minorHAnsi" w:hAnsiTheme="minorHAnsi" w:cstheme="minorHAnsi"/>
          <w:color w:val="0084A8"/>
          <w:sz w:val="22"/>
          <w:lang w:val="fr-CH"/>
        </w:rPr>
      </w:pPr>
      <w:r w:rsidRPr="00544161">
        <w:rPr>
          <w:rFonts w:asciiTheme="minorHAnsi" w:hAnsiTheme="minorHAnsi" w:cstheme="minorHAnsi"/>
          <w:color w:val="0084A8"/>
          <w:sz w:val="22"/>
        </w:rPr>
        <w:t>Le rôle plus large des écoles de commerce</w:t>
      </w:r>
    </w:p>
    <w:p w14:paraId="706D0AC7" w14:textId="77777777" w:rsidR="00310495" w:rsidRPr="00544161" w:rsidRDefault="00310495" w:rsidP="00310495">
      <w:pPr>
        <w:rPr>
          <w:rFonts w:asciiTheme="minorHAnsi" w:hAnsiTheme="minorHAnsi" w:cstheme="minorHAnsi"/>
          <w:sz w:val="20"/>
          <w:szCs w:val="20"/>
        </w:rPr>
      </w:pPr>
      <w:r w:rsidRPr="00544161">
        <w:rPr>
          <w:rFonts w:asciiTheme="minorHAnsi" w:hAnsiTheme="minorHAnsi" w:cstheme="minorHAnsi"/>
          <w:sz w:val="20"/>
          <w:szCs w:val="20"/>
        </w:rPr>
        <w:t xml:space="preserve">Les écoles de commerce sont traditionnellement perçues comme servant les étudiants en développant leurs compétences managériales et servant les entreprises en leur fournissant des talents qualifiés, des données issues de la recherche ainsi que de la formation continue pour leurs employés. Les écoles de commerce soutiennent ainsi les entreprises et l'économie. Apporter un impact positif pour la société n'a pas été considéré comme le </w:t>
      </w:r>
      <w:proofErr w:type="spellStart"/>
      <w:r w:rsidRPr="00544161">
        <w:rPr>
          <w:rFonts w:asciiTheme="minorHAnsi" w:hAnsiTheme="minorHAnsi" w:cstheme="minorHAnsi"/>
          <w:sz w:val="20"/>
          <w:szCs w:val="20"/>
        </w:rPr>
        <w:t>coeur</w:t>
      </w:r>
      <w:proofErr w:type="spellEnd"/>
      <w:r w:rsidRPr="00544161">
        <w:rPr>
          <w:rFonts w:asciiTheme="minorHAnsi" w:hAnsiTheme="minorHAnsi" w:cstheme="minorHAnsi"/>
          <w:sz w:val="20"/>
          <w:szCs w:val="20"/>
        </w:rPr>
        <w:t xml:space="preserve"> de métier des écoles de commerce, cependant les réclamations pour que cela le soit n'ont eu de cesse d'augmenter tout au long de la décennie précédente comme cela l'a été illustré par les Objectifs de Développement Durable des Nations Unies. Cette nouvelle notation des écoles de commerce répond à ces demandes.</w:t>
      </w:r>
    </w:p>
    <w:p w14:paraId="423F37DF" w14:textId="6AB07099" w:rsidR="00310495" w:rsidRPr="00544161" w:rsidRDefault="00310495" w:rsidP="00310495">
      <w:pPr>
        <w:rPr>
          <w:rFonts w:asciiTheme="minorHAnsi" w:hAnsiTheme="minorHAnsi" w:cstheme="minorHAnsi"/>
        </w:rPr>
      </w:pPr>
    </w:p>
    <w:p w14:paraId="034BCFBF" w14:textId="0C25D49C" w:rsidR="00310495" w:rsidRPr="00544161" w:rsidRDefault="00310495" w:rsidP="00581D7C">
      <w:pPr>
        <w:shd w:val="clear" w:color="auto" w:fill="7DE3FF"/>
        <w:tabs>
          <w:tab w:val="right" w:pos="8909"/>
        </w:tabs>
        <w:ind w:left="709" w:right="708"/>
        <w:rPr>
          <w:rFonts w:asciiTheme="minorHAnsi" w:hAnsiTheme="minorHAnsi" w:cstheme="minorHAnsi"/>
          <w:i/>
          <w:iCs/>
          <w:sz w:val="20"/>
          <w:szCs w:val="20"/>
          <w:lang w:val="de-CH"/>
        </w:rPr>
      </w:pPr>
      <w:r w:rsidRPr="00544161">
        <w:rPr>
          <w:rFonts w:asciiTheme="minorHAnsi" w:hAnsiTheme="minorHAnsi" w:cstheme="minorHAnsi"/>
          <w:i/>
          <w:iCs/>
          <w:sz w:val="20"/>
          <w:szCs w:val="20"/>
          <w:lang w:val="fr-CH"/>
        </w:rPr>
        <w:t xml:space="preserve">"Les étudiants exigent un changement de paradigme des écoles de commerce. Après que nous nous soyons massivement exprimés en 2019, le PIR nous permet maintenant d'agir avec les écoles pour accomplir ce changement profond."              </w:t>
      </w:r>
      <w:r w:rsidR="00581D7C" w:rsidRPr="00544161">
        <w:rPr>
          <w:rFonts w:asciiTheme="minorHAnsi" w:hAnsiTheme="minorHAnsi" w:cstheme="minorHAnsi"/>
          <w:i/>
          <w:iCs/>
          <w:sz w:val="20"/>
          <w:szCs w:val="20"/>
          <w:lang w:val="fr-CH"/>
        </w:rPr>
        <w:tab/>
      </w:r>
      <w:r w:rsidRPr="00544161">
        <w:rPr>
          <w:rFonts w:asciiTheme="minorHAnsi" w:hAnsiTheme="minorHAnsi" w:cstheme="minorHAnsi"/>
          <w:i/>
          <w:iCs/>
          <w:sz w:val="20"/>
          <w:szCs w:val="20"/>
          <w:lang w:val="de-CH"/>
        </w:rPr>
        <w:t xml:space="preserve">Clémentine Robert, </w:t>
      </w:r>
      <w:proofErr w:type="spellStart"/>
      <w:r w:rsidRPr="00544161">
        <w:rPr>
          <w:rFonts w:asciiTheme="minorHAnsi" w:hAnsiTheme="minorHAnsi" w:cstheme="minorHAnsi"/>
          <w:i/>
          <w:iCs/>
          <w:sz w:val="20"/>
          <w:szCs w:val="20"/>
          <w:lang w:val="de-CH"/>
        </w:rPr>
        <w:t>presidente</w:t>
      </w:r>
      <w:proofErr w:type="spellEnd"/>
      <w:r w:rsidRPr="00544161">
        <w:rPr>
          <w:rFonts w:asciiTheme="minorHAnsi" w:hAnsiTheme="minorHAnsi" w:cstheme="minorHAnsi"/>
          <w:i/>
          <w:iCs/>
          <w:sz w:val="20"/>
          <w:szCs w:val="20"/>
          <w:lang w:val="de-CH"/>
        </w:rPr>
        <w:t xml:space="preserve"> </w:t>
      </w:r>
      <w:proofErr w:type="spellStart"/>
      <w:r w:rsidRPr="00544161">
        <w:rPr>
          <w:rFonts w:asciiTheme="minorHAnsi" w:hAnsiTheme="minorHAnsi" w:cstheme="minorHAnsi"/>
          <w:i/>
          <w:iCs/>
          <w:sz w:val="20"/>
          <w:szCs w:val="20"/>
          <w:lang w:val="de-CH"/>
        </w:rPr>
        <w:t>d’oikos</w:t>
      </w:r>
      <w:proofErr w:type="spellEnd"/>
      <w:r w:rsidRPr="00544161">
        <w:rPr>
          <w:rFonts w:asciiTheme="minorHAnsi" w:hAnsiTheme="minorHAnsi" w:cstheme="minorHAnsi"/>
          <w:i/>
          <w:iCs/>
          <w:sz w:val="20"/>
          <w:szCs w:val="20"/>
          <w:lang w:val="de-CH"/>
        </w:rPr>
        <w:t xml:space="preserve"> International</w:t>
      </w:r>
    </w:p>
    <w:p w14:paraId="0DDC9D43" w14:textId="162C7E11" w:rsidR="00310495" w:rsidRPr="00544161" w:rsidRDefault="00310495" w:rsidP="00310495">
      <w:pPr>
        <w:rPr>
          <w:rFonts w:asciiTheme="minorHAnsi" w:hAnsiTheme="minorHAnsi" w:cstheme="minorHAnsi"/>
        </w:rPr>
      </w:pPr>
    </w:p>
    <w:p w14:paraId="77F01E79" w14:textId="77777777" w:rsidR="00581D7C" w:rsidRPr="00544161" w:rsidRDefault="00581D7C" w:rsidP="00581D7C">
      <w:pPr>
        <w:spacing w:after="120"/>
        <w:rPr>
          <w:rFonts w:asciiTheme="minorHAnsi" w:hAnsiTheme="minorHAnsi" w:cstheme="minorHAnsi"/>
          <w:b/>
          <w:bCs/>
          <w:color w:val="0084A8"/>
          <w:sz w:val="22"/>
        </w:rPr>
      </w:pPr>
      <w:r w:rsidRPr="00544161">
        <w:rPr>
          <w:rFonts w:asciiTheme="minorHAnsi" w:hAnsiTheme="minorHAnsi" w:cstheme="minorHAnsi"/>
          <w:b/>
          <w:bCs/>
          <w:color w:val="0084A8"/>
          <w:sz w:val="22"/>
        </w:rPr>
        <w:t>Ce que les écoles de commerce devraient arrêter de faire et commencer à faire</w:t>
      </w:r>
    </w:p>
    <w:p w14:paraId="51CE06CF" w14:textId="77777777" w:rsidR="00581D7C" w:rsidRPr="00544161" w:rsidRDefault="00581D7C" w:rsidP="00581D7C">
      <w:pPr>
        <w:rPr>
          <w:rFonts w:asciiTheme="minorHAnsi" w:hAnsiTheme="minorHAnsi" w:cstheme="minorHAnsi"/>
          <w:sz w:val="20"/>
          <w:szCs w:val="20"/>
        </w:rPr>
      </w:pPr>
      <w:r w:rsidRPr="00544161">
        <w:rPr>
          <w:rFonts w:asciiTheme="minorHAnsi" w:hAnsiTheme="minorHAnsi" w:cstheme="minorHAnsi"/>
          <w:sz w:val="20"/>
          <w:szCs w:val="20"/>
        </w:rPr>
        <w:t xml:space="preserve">Les étudiants ont fourni une mine incroyable de commentaires constructifs sur la façon dont leurs écoles peuvent améliorer leur impact positif. Cette évaluation est un signe supplémentaire que l’année 2019 a été l’occasion pour les jeunes de prendre la parole et où le monde a pris conscience des problématiques liées non seulement à la crise climatique mais aussi à la justice sociale. Les étudiants expriment clairement ce que les écoles doivent </w:t>
      </w:r>
      <w:r w:rsidRPr="00544161">
        <w:rPr>
          <w:rFonts w:asciiTheme="minorHAnsi" w:hAnsiTheme="minorHAnsi" w:cstheme="minorHAnsi"/>
          <w:b/>
          <w:bCs/>
          <w:color w:val="0084A8"/>
          <w:sz w:val="20"/>
          <w:szCs w:val="20"/>
        </w:rPr>
        <w:t>ARRÊTER</w:t>
      </w:r>
      <w:r w:rsidRPr="00544161">
        <w:rPr>
          <w:rFonts w:asciiTheme="minorHAnsi" w:hAnsiTheme="minorHAnsi" w:cstheme="minorHAnsi"/>
          <w:color w:val="0084A8"/>
          <w:sz w:val="20"/>
          <w:szCs w:val="20"/>
        </w:rPr>
        <w:t xml:space="preserve"> </w:t>
      </w:r>
      <w:r w:rsidRPr="00544161">
        <w:rPr>
          <w:rFonts w:asciiTheme="minorHAnsi" w:hAnsiTheme="minorHAnsi" w:cstheme="minorHAnsi"/>
          <w:b/>
          <w:bCs/>
          <w:color w:val="0084A8"/>
          <w:sz w:val="20"/>
          <w:szCs w:val="20"/>
        </w:rPr>
        <w:t>de faire</w:t>
      </w:r>
      <w:r w:rsidRPr="00544161">
        <w:rPr>
          <w:rFonts w:asciiTheme="minorHAnsi" w:hAnsiTheme="minorHAnsi" w:cstheme="minorHAnsi"/>
          <w:color w:val="0084A8"/>
          <w:sz w:val="20"/>
          <w:szCs w:val="20"/>
        </w:rPr>
        <w:t xml:space="preserve"> </w:t>
      </w:r>
      <w:r w:rsidRPr="00544161">
        <w:rPr>
          <w:rFonts w:asciiTheme="minorHAnsi" w:hAnsiTheme="minorHAnsi" w:cstheme="minorHAnsi"/>
          <w:sz w:val="20"/>
          <w:szCs w:val="20"/>
        </w:rPr>
        <w:t>selon eux :</w:t>
      </w:r>
      <w:r w:rsidRPr="00544161">
        <w:rPr>
          <w:rFonts w:asciiTheme="minorHAnsi" w:hAnsiTheme="minorHAnsi" w:cstheme="minorHAnsi"/>
          <w:color w:val="0084A8"/>
          <w:sz w:val="20"/>
          <w:szCs w:val="20"/>
        </w:rPr>
        <w:t xml:space="preserve"> </w:t>
      </w:r>
      <w:r w:rsidRPr="00544161">
        <w:rPr>
          <w:rFonts w:asciiTheme="minorHAnsi" w:hAnsiTheme="minorHAnsi" w:cstheme="minorHAnsi"/>
          <w:sz w:val="20"/>
          <w:szCs w:val="20"/>
        </w:rPr>
        <w:t xml:space="preserve">1) Arrêter d’investir dans les carburants fossiles ; 2) Arrêter de traiter le développement durable et l’entrepreneuriat social comme des sujets secondaires ; 3) Arrêter d’entretenir des partenariats et d’accepter des fonds provenant d’entreprises et de particuliers ne respectant pas l’éthique ; 4) Arrêter d’engager des professeurs qui ne se soucient pas de bien faire ; 5) Arrêter de mettre l’accent sur la maximisation des profits ; 6) Arrêter d’envoyer les étudiants à l’étranger pour étudier simplement parce que c’est cool. Ils sont aussi unanimes quant à ce que les écoles doivent </w:t>
      </w:r>
      <w:r w:rsidRPr="00544161">
        <w:rPr>
          <w:rFonts w:asciiTheme="minorHAnsi" w:hAnsiTheme="minorHAnsi" w:cstheme="minorHAnsi"/>
          <w:b/>
          <w:bCs/>
          <w:color w:val="0084A8"/>
          <w:sz w:val="20"/>
          <w:szCs w:val="20"/>
        </w:rPr>
        <w:t>COMMENCER</w:t>
      </w:r>
      <w:r w:rsidRPr="00544161">
        <w:rPr>
          <w:rFonts w:asciiTheme="minorHAnsi" w:hAnsiTheme="minorHAnsi" w:cstheme="minorHAnsi"/>
          <w:color w:val="0084A8"/>
          <w:sz w:val="20"/>
          <w:szCs w:val="20"/>
        </w:rPr>
        <w:t xml:space="preserve"> </w:t>
      </w:r>
      <w:r w:rsidRPr="00544161">
        <w:rPr>
          <w:rFonts w:asciiTheme="minorHAnsi" w:hAnsiTheme="minorHAnsi" w:cstheme="minorHAnsi"/>
          <w:b/>
          <w:bCs/>
          <w:color w:val="0084A8"/>
          <w:sz w:val="20"/>
          <w:szCs w:val="20"/>
        </w:rPr>
        <w:t>à faire</w:t>
      </w:r>
      <w:r w:rsidRPr="00544161">
        <w:rPr>
          <w:rFonts w:asciiTheme="minorHAnsi" w:hAnsiTheme="minorHAnsi" w:cstheme="minorHAnsi"/>
          <w:color w:val="0084A8"/>
          <w:sz w:val="20"/>
          <w:szCs w:val="20"/>
        </w:rPr>
        <w:t xml:space="preserve"> : </w:t>
      </w:r>
      <w:r w:rsidRPr="00544161">
        <w:rPr>
          <w:rFonts w:asciiTheme="minorHAnsi" w:hAnsiTheme="minorHAnsi" w:cstheme="minorHAnsi"/>
          <w:sz w:val="20"/>
          <w:szCs w:val="20"/>
        </w:rPr>
        <w:t>1) Rendre la formation sur le développement durable et l’impact social obligatoire dans les programmes d’études ; 2) Intégrer la science et les faits au débat politique ; 3) Réduire les émissions de CO</w:t>
      </w:r>
      <w:r w:rsidRPr="00544161">
        <w:rPr>
          <w:rFonts w:asciiTheme="minorHAnsi" w:hAnsiTheme="minorHAnsi" w:cstheme="minorHAnsi"/>
          <w:sz w:val="20"/>
          <w:szCs w:val="20"/>
          <w:vertAlign w:val="subscript"/>
        </w:rPr>
        <w:t>2</w:t>
      </w:r>
      <w:r w:rsidRPr="00544161">
        <w:rPr>
          <w:rFonts w:asciiTheme="minorHAnsi" w:hAnsiTheme="minorHAnsi" w:cstheme="minorHAnsi"/>
          <w:sz w:val="20"/>
          <w:szCs w:val="20"/>
        </w:rPr>
        <w:t xml:space="preserve"> et le gaspillage alimentaire ; 4) Prioriser la parité des sexes parmi les étudiants et dans la faculté ; 5) Échanger davantage avec d’autres écoles et facultés, partager de bonnes pratiques et évoluer ensemble ; 6) Renommer les écoles afin de souligner la mission sociale de l’enseignement du commerce. </w:t>
      </w:r>
    </w:p>
    <w:p w14:paraId="43ED0BF2" w14:textId="77777777" w:rsidR="00581D7C" w:rsidRPr="00544161" w:rsidRDefault="00581D7C" w:rsidP="00581D7C">
      <w:pPr>
        <w:rPr>
          <w:rFonts w:asciiTheme="minorHAnsi" w:hAnsiTheme="minorHAnsi" w:cstheme="minorHAnsi"/>
        </w:rPr>
      </w:pPr>
    </w:p>
    <w:p w14:paraId="17805227" w14:textId="77777777" w:rsidR="005E62E5" w:rsidRPr="00544161" w:rsidRDefault="005E62E5" w:rsidP="00581D7C">
      <w:pPr>
        <w:rPr>
          <w:rFonts w:asciiTheme="minorHAnsi" w:hAnsiTheme="minorHAnsi" w:cstheme="minorHAnsi"/>
          <w:b/>
          <w:bCs/>
          <w:sz w:val="20"/>
          <w:szCs w:val="20"/>
        </w:rPr>
      </w:pPr>
    </w:p>
    <w:tbl>
      <w:tblPr>
        <w:tblpPr w:leftFromText="181" w:rightFromText="181" w:vertAnchor="text" w:tblpY="1"/>
        <w:tblW w:w="3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5"/>
        <w:gridCol w:w="2509"/>
      </w:tblGrid>
      <w:tr w:rsidR="005E62E5" w:rsidRPr="00544161" w14:paraId="6080A175" w14:textId="77777777">
        <w:trPr>
          <w:trHeight w:val="37"/>
        </w:trPr>
        <w:tc>
          <w:tcPr>
            <w:tcW w:w="1129" w:type="dxa"/>
            <w:shd w:val="clear" w:color="auto" w:fill="0084A8"/>
            <w:tcMar>
              <w:top w:w="100" w:type="dxa"/>
              <w:left w:w="100" w:type="dxa"/>
              <w:bottom w:w="100" w:type="dxa"/>
              <w:right w:w="100" w:type="dxa"/>
            </w:tcMar>
          </w:tcPr>
          <w:p w14:paraId="1C9A31E7" w14:textId="77777777" w:rsidR="005E62E5" w:rsidRPr="00544161" w:rsidRDefault="00B2035C">
            <w:pPr>
              <w:rPr>
                <w:rFonts w:asciiTheme="minorHAnsi" w:hAnsiTheme="minorHAnsi" w:cstheme="minorHAnsi"/>
                <w:b/>
                <w:bCs/>
                <w:color w:val="FFFFFF" w:themeColor="background1"/>
              </w:rPr>
            </w:pPr>
            <w:r w:rsidRPr="00544161">
              <w:rPr>
                <w:rFonts w:asciiTheme="minorHAnsi" w:hAnsiTheme="minorHAnsi" w:cstheme="minorHAnsi"/>
                <w:b/>
                <w:bCs/>
                <w:color w:val="FFFFFF" w:themeColor="background1"/>
              </w:rPr>
              <w:t>Domaines</w:t>
            </w:r>
          </w:p>
        </w:tc>
        <w:tc>
          <w:tcPr>
            <w:tcW w:w="2515" w:type="dxa"/>
            <w:shd w:val="clear" w:color="auto" w:fill="0084A8"/>
            <w:tcMar>
              <w:top w:w="100" w:type="dxa"/>
              <w:left w:w="100" w:type="dxa"/>
              <w:bottom w:w="100" w:type="dxa"/>
              <w:right w:w="100" w:type="dxa"/>
            </w:tcMar>
          </w:tcPr>
          <w:p w14:paraId="62793F5C" w14:textId="77777777" w:rsidR="005E62E5" w:rsidRPr="00544161" w:rsidRDefault="00B2035C">
            <w:pPr>
              <w:rPr>
                <w:rFonts w:asciiTheme="minorHAnsi" w:hAnsiTheme="minorHAnsi" w:cstheme="minorHAnsi"/>
                <w:b/>
                <w:bCs/>
                <w:color w:val="FFFFFF" w:themeColor="background1"/>
              </w:rPr>
            </w:pPr>
            <w:r w:rsidRPr="00544161">
              <w:rPr>
                <w:rFonts w:asciiTheme="minorHAnsi" w:hAnsiTheme="minorHAnsi" w:cstheme="minorHAnsi"/>
                <w:b/>
                <w:bCs/>
                <w:color w:val="FFFFFF" w:themeColor="background1"/>
              </w:rPr>
              <w:t>Dimensions de l’impact</w:t>
            </w:r>
          </w:p>
        </w:tc>
      </w:tr>
      <w:tr w:rsidR="005E62E5" w:rsidRPr="00544161" w14:paraId="37384358" w14:textId="77777777">
        <w:trPr>
          <w:trHeight w:val="299"/>
        </w:trPr>
        <w:tc>
          <w:tcPr>
            <w:tcW w:w="1129" w:type="dxa"/>
            <w:vMerge w:val="restart"/>
            <w:tcMar>
              <w:top w:w="100" w:type="dxa"/>
              <w:left w:w="100" w:type="dxa"/>
              <w:bottom w:w="100" w:type="dxa"/>
              <w:right w:w="100" w:type="dxa"/>
            </w:tcMar>
            <w:hideMark/>
          </w:tcPr>
          <w:p w14:paraId="41BEFB11" w14:textId="0357A0A3" w:rsidR="005E62E5" w:rsidRPr="00544161" w:rsidRDefault="00B2035C">
            <w:pPr>
              <w:rPr>
                <w:rFonts w:asciiTheme="minorHAnsi" w:hAnsiTheme="minorHAnsi" w:cstheme="minorHAnsi"/>
                <w:b/>
                <w:bCs/>
                <w:color w:val="0084A8"/>
                <w:sz w:val="24"/>
                <w:szCs w:val="24"/>
              </w:rPr>
            </w:pPr>
            <w:r w:rsidRPr="00544161">
              <w:rPr>
                <w:rFonts w:asciiTheme="minorHAnsi" w:hAnsiTheme="minorHAnsi" w:cstheme="minorHAnsi"/>
                <w:b/>
                <w:bCs/>
                <w:color w:val="0084A8"/>
              </w:rPr>
              <w:lastRenderedPageBreak/>
              <w:t>Dynamis</w:t>
            </w:r>
            <w:r w:rsidR="00581D7C" w:rsidRPr="00544161">
              <w:rPr>
                <w:rFonts w:asciiTheme="minorHAnsi" w:hAnsiTheme="minorHAnsi" w:cstheme="minorHAnsi"/>
                <w:b/>
                <w:bCs/>
                <w:color w:val="0084A8"/>
              </w:rPr>
              <w:t>er</w:t>
            </w:r>
          </w:p>
          <w:p w14:paraId="56B294CA" w14:textId="77777777" w:rsidR="005E62E5" w:rsidRPr="00544161" w:rsidRDefault="00B2035C">
            <w:pPr>
              <w:rPr>
                <w:rFonts w:asciiTheme="minorHAnsi" w:hAnsiTheme="minorHAnsi" w:cstheme="minorHAnsi"/>
                <w:b/>
                <w:bCs/>
                <w:color w:val="0084A8"/>
                <w:sz w:val="24"/>
                <w:szCs w:val="24"/>
              </w:rPr>
            </w:pPr>
            <w:r w:rsidRPr="00544161">
              <w:rPr>
                <w:rFonts w:asciiTheme="minorHAnsi" w:hAnsiTheme="minorHAnsi" w:cstheme="minorHAnsi"/>
                <w:b/>
                <w:bCs/>
                <w:color w:val="0084A8"/>
              </w:rPr>
              <w:t> </w:t>
            </w:r>
          </w:p>
        </w:tc>
        <w:tc>
          <w:tcPr>
            <w:tcW w:w="2515" w:type="dxa"/>
            <w:tcMar>
              <w:top w:w="100" w:type="dxa"/>
              <w:left w:w="100" w:type="dxa"/>
              <w:bottom w:w="100" w:type="dxa"/>
              <w:right w:w="100" w:type="dxa"/>
            </w:tcMar>
            <w:hideMark/>
          </w:tcPr>
          <w:p w14:paraId="1C02EC84" w14:textId="77777777" w:rsidR="005E62E5" w:rsidRPr="00544161" w:rsidRDefault="00B2035C">
            <w:pPr>
              <w:rPr>
                <w:rFonts w:asciiTheme="minorHAnsi" w:hAnsiTheme="minorHAnsi" w:cstheme="minorHAnsi"/>
                <w:sz w:val="24"/>
                <w:szCs w:val="24"/>
              </w:rPr>
            </w:pPr>
            <w:r w:rsidRPr="00544161">
              <w:rPr>
                <w:rFonts w:asciiTheme="minorHAnsi" w:hAnsiTheme="minorHAnsi" w:cstheme="minorHAnsi"/>
              </w:rPr>
              <w:t>Gouvernance</w:t>
            </w:r>
          </w:p>
        </w:tc>
      </w:tr>
      <w:tr w:rsidR="005E62E5" w:rsidRPr="00544161" w14:paraId="39A410FD" w14:textId="77777777">
        <w:trPr>
          <w:trHeight w:val="77"/>
        </w:trPr>
        <w:tc>
          <w:tcPr>
            <w:tcW w:w="1129" w:type="dxa"/>
            <w:vMerge/>
            <w:vAlign w:val="center"/>
            <w:hideMark/>
          </w:tcPr>
          <w:p w14:paraId="047C5413" w14:textId="77777777" w:rsidR="005E62E5" w:rsidRPr="00544161" w:rsidRDefault="005E62E5">
            <w:pPr>
              <w:rPr>
                <w:rFonts w:asciiTheme="minorHAnsi" w:hAnsiTheme="minorHAnsi" w:cstheme="minorHAnsi"/>
                <w:b/>
                <w:bCs/>
                <w:color w:val="0084A8"/>
              </w:rPr>
            </w:pPr>
          </w:p>
        </w:tc>
        <w:tc>
          <w:tcPr>
            <w:tcW w:w="2515" w:type="dxa"/>
            <w:tcMar>
              <w:top w:w="100" w:type="dxa"/>
              <w:left w:w="100" w:type="dxa"/>
              <w:bottom w:w="100" w:type="dxa"/>
              <w:right w:w="100" w:type="dxa"/>
            </w:tcMar>
            <w:hideMark/>
          </w:tcPr>
          <w:p w14:paraId="30B20CDC" w14:textId="77777777" w:rsidR="005E62E5" w:rsidRPr="00544161" w:rsidRDefault="00B2035C">
            <w:pPr>
              <w:rPr>
                <w:rFonts w:asciiTheme="minorHAnsi" w:hAnsiTheme="minorHAnsi" w:cstheme="minorHAnsi"/>
                <w:sz w:val="24"/>
                <w:szCs w:val="24"/>
              </w:rPr>
            </w:pPr>
            <w:r w:rsidRPr="00544161">
              <w:rPr>
                <w:rFonts w:asciiTheme="minorHAnsi" w:hAnsiTheme="minorHAnsi" w:cstheme="minorHAnsi"/>
              </w:rPr>
              <w:t>Culture</w:t>
            </w:r>
          </w:p>
        </w:tc>
      </w:tr>
      <w:tr w:rsidR="005E62E5" w:rsidRPr="00544161" w14:paraId="501B2A75" w14:textId="77777777">
        <w:trPr>
          <w:trHeight w:val="58"/>
        </w:trPr>
        <w:tc>
          <w:tcPr>
            <w:tcW w:w="1129" w:type="dxa"/>
            <w:vMerge w:val="restart"/>
            <w:tcMar>
              <w:top w:w="100" w:type="dxa"/>
              <w:left w:w="100" w:type="dxa"/>
              <w:bottom w:w="100" w:type="dxa"/>
              <w:right w:w="100" w:type="dxa"/>
            </w:tcMar>
            <w:hideMark/>
          </w:tcPr>
          <w:p w14:paraId="662C952C" w14:textId="213936F8" w:rsidR="005E62E5" w:rsidRPr="00544161" w:rsidRDefault="00B2035C">
            <w:pPr>
              <w:rPr>
                <w:rFonts w:asciiTheme="minorHAnsi" w:hAnsiTheme="minorHAnsi" w:cstheme="minorHAnsi"/>
                <w:b/>
                <w:bCs/>
                <w:color w:val="0084A8"/>
                <w:sz w:val="24"/>
                <w:szCs w:val="24"/>
              </w:rPr>
            </w:pPr>
            <w:r w:rsidRPr="00544161">
              <w:rPr>
                <w:rFonts w:asciiTheme="minorHAnsi" w:hAnsiTheme="minorHAnsi" w:cstheme="minorHAnsi"/>
                <w:b/>
                <w:bCs/>
                <w:color w:val="0084A8"/>
              </w:rPr>
              <w:t>Édu</w:t>
            </w:r>
            <w:r w:rsidR="00581D7C" w:rsidRPr="00544161">
              <w:rPr>
                <w:rFonts w:asciiTheme="minorHAnsi" w:hAnsiTheme="minorHAnsi" w:cstheme="minorHAnsi"/>
                <w:b/>
                <w:bCs/>
                <w:color w:val="0084A8"/>
              </w:rPr>
              <w:t>quer</w:t>
            </w:r>
          </w:p>
          <w:p w14:paraId="57639BF7" w14:textId="77777777" w:rsidR="005E62E5" w:rsidRPr="00544161" w:rsidRDefault="00B2035C">
            <w:pPr>
              <w:rPr>
                <w:rFonts w:asciiTheme="minorHAnsi" w:hAnsiTheme="minorHAnsi" w:cstheme="minorHAnsi"/>
                <w:b/>
                <w:bCs/>
                <w:color w:val="0084A8"/>
                <w:sz w:val="24"/>
                <w:szCs w:val="24"/>
              </w:rPr>
            </w:pPr>
            <w:r w:rsidRPr="00544161">
              <w:rPr>
                <w:rFonts w:asciiTheme="minorHAnsi" w:hAnsiTheme="minorHAnsi" w:cstheme="minorHAnsi"/>
                <w:b/>
                <w:bCs/>
                <w:color w:val="0084A8"/>
              </w:rPr>
              <w:t> </w:t>
            </w:r>
          </w:p>
          <w:p w14:paraId="23632A8C" w14:textId="77777777" w:rsidR="005E62E5" w:rsidRPr="00544161" w:rsidRDefault="00B2035C">
            <w:pPr>
              <w:rPr>
                <w:rFonts w:asciiTheme="minorHAnsi" w:hAnsiTheme="minorHAnsi" w:cstheme="minorHAnsi"/>
                <w:b/>
                <w:bCs/>
                <w:color w:val="0084A8"/>
                <w:sz w:val="24"/>
                <w:szCs w:val="24"/>
              </w:rPr>
            </w:pPr>
            <w:r w:rsidRPr="00544161">
              <w:rPr>
                <w:rFonts w:asciiTheme="minorHAnsi" w:hAnsiTheme="minorHAnsi" w:cstheme="minorHAnsi"/>
                <w:b/>
                <w:bCs/>
                <w:color w:val="0084A8"/>
              </w:rPr>
              <w:t> </w:t>
            </w:r>
          </w:p>
        </w:tc>
        <w:tc>
          <w:tcPr>
            <w:tcW w:w="2515" w:type="dxa"/>
            <w:tcMar>
              <w:top w:w="100" w:type="dxa"/>
              <w:left w:w="100" w:type="dxa"/>
              <w:bottom w:w="100" w:type="dxa"/>
              <w:right w:w="100" w:type="dxa"/>
            </w:tcMar>
            <w:hideMark/>
          </w:tcPr>
          <w:p w14:paraId="2E641234" w14:textId="77777777" w:rsidR="005E62E5" w:rsidRPr="00544161" w:rsidRDefault="00B2035C">
            <w:pPr>
              <w:rPr>
                <w:rFonts w:asciiTheme="minorHAnsi" w:hAnsiTheme="minorHAnsi" w:cstheme="minorHAnsi"/>
                <w:sz w:val="24"/>
                <w:szCs w:val="24"/>
              </w:rPr>
            </w:pPr>
            <w:r w:rsidRPr="00544161">
              <w:rPr>
                <w:rFonts w:asciiTheme="minorHAnsi" w:hAnsiTheme="minorHAnsi" w:cstheme="minorHAnsi"/>
              </w:rPr>
              <w:t>Programmes</w:t>
            </w:r>
          </w:p>
        </w:tc>
      </w:tr>
      <w:tr w:rsidR="005E62E5" w:rsidRPr="00544161" w14:paraId="2F5A61B2" w14:textId="77777777">
        <w:trPr>
          <w:trHeight w:val="175"/>
        </w:trPr>
        <w:tc>
          <w:tcPr>
            <w:tcW w:w="1129" w:type="dxa"/>
            <w:vMerge/>
            <w:vAlign w:val="center"/>
            <w:hideMark/>
          </w:tcPr>
          <w:p w14:paraId="3D38B4FA" w14:textId="77777777" w:rsidR="005E62E5" w:rsidRPr="00544161" w:rsidRDefault="005E62E5">
            <w:pPr>
              <w:rPr>
                <w:rFonts w:asciiTheme="minorHAnsi" w:hAnsiTheme="minorHAnsi" w:cstheme="minorHAnsi"/>
                <w:b/>
                <w:bCs/>
                <w:color w:val="0084A8"/>
              </w:rPr>
            </w:pPr>
          </w:p>
        </w:tc>
        <w:tc>
          <w:tcPr>
            <w:tcW w:w="2515" w:type="dxa"/>
            <w:tcMar>
              <w:top w:w="100" w:type="dxa"/>
              <w:left w:w="100" w:type="dxa"/>
              <w:bottom w:w="100" w:type="dxa"/>
              <w:right w:w="100" w:type="dxa"/>
            </w:tcMar>
            <w:hideMark/>
          </w:tcPr>
          <w:p w14:paraId="4383B8EE" w14:textId="77777777" w:rsidR="005E62E5" w:rsidRPr="00544161" w:rsidRDefault="00B2035C">
            <w:pPr>
              <w:rPr>
                <w:rFonts w:asciiTheme="minorHAnsi" w:hAnsiTheme="minorHAnsi" w:cstheme="minorHAnsi"/>
                <w:sz w:val="24"/>
                <w:szCs w:val="24"/>
              </w:rPr>
            </w:pPr>
            <w:r w:rsidRPr="00544161">
              <w:rPr>
                <w:rFonts w:asciiTheme="minorHAnsi" w:hAnsiTheme="minorHAnsi" w:cstheme="minorHAnsi"/>
              </w:rPr>
              <w:t>Méthodes d’apprentissage</w:t>
            </w:r>
          </w:p>
        </w:tc>
      </w:tr>
      <w:tr w:rsidR="005E62E5" w:rsidRPr="00544161" w14:paraId="77FABFB3" w14:textId="77777777">
        <w:trPr>
          <w:trHeight w:val="153"/>
        </w:trPr>
        <w:tc>
          <w:tcPr>
            <w:tcW w:w="1129" w:type="dxa"/>
            <w:vMerge/>
            <w:vAlign w:val="center"/>
            <w:hideMark/>
          </w:tcPr>
          <w:p w14:paraId="3962BE55" w14:textId="77777777" w:rsidR="005E62E5" w:rsidRPr="00544161" w:rsidRDefault="005E62E5">
            <w:pPr>
              <w:rPr>
                <w:rFonts w:asciiTheme="minorHAnsi" w:hAnsiTheme="minorHAnsi" w:cstheme="minorHAnsi"/>
                <w:b/>
                <w:bCs/>
                <w:color w:val="0084A8"/>
              </w:rPr>
            </w:pPr>
          </w:p>
        </w:tc>
        <w:tc>
          <w:tcPr>
            <w:tcW w:w="2515" w:type="dxa"/>
            <w:tcMar>
              <w:top w:w="100" w:type="dxa"/>
              <w:left w:w="100" w:type="dxa"/>
              <w:bottom w:w="100" w:type="dxa"/>
              <w:right w:w="100" w:type="dxa"/>
            </w:tcMar>
            <w:hideMark/>
          </w:tcPr>
          <w:p w14:paraId="1C2CA676" w14:textId="77777777" w:rsidR="005E62E5" w:rsidRPr="00544161" w:rsidRDefault="00B2035C" w:rsidP="004B001D">
            <w:pPr>
              <w:jc w:val="left"/>
              <w:rPr>
                <w:rFonts w:asciiTheme="minorHAnsi" w:hAnsiTheme="minorHAnsi" w:cstheme="minorHAnsi"/>
                <w:sz w:val="24"/>
                <w:szCs w:val="24"/>
              </w:rPr>
            </w:pPr>
            <w:r w:rsidRPr="00544161">
              <w:rPr>
                <w:rFonts w:asciiTheme="minorHAnsi" w:hAnsiTheme="minorHAnsi" w:cstheme="minorHAnsi"/>
              </w:rPr>
              <w:t>Engagement des étudiants</w:t>
            </w:r>
          </w:p>
        </w:tc>
      </w:tr>
      <w:tr w:rsidR="005E62E5" w:rsidRPr="00544161" w14:paraId="247E86C2" w14:textId="77777777">
        <w:trPr>
          <w:trHeight w:val="20"/>
        </w:trPr>
        <w:tc>
          <w:tcPr>
            <w:tcW w:w="1129" w:type="dxa"/>
            <w:vMerge w:val="restart"/>
            <w:tcMar>
              <w:top w:w="100" w:type="dxa"/>
              <w:left w:w="100" w:type="dxa"/>
              <w:bottom w:w="100" w:type="dxa"/>
              <w:right w:w="100" w:type="dxa"/>
            </w:tcMar>
            <w:hideMark/>
          </w:tcPr>
          <w:p w14:paraId="69993720" w14:textId="725EDA01" w:rsidR="005E62E5" w:rsidRPr="00544161" w:rsidRDefault="00B2035C">
            <w:pPr>
              <w:rPr>
                <w:rFonts w:asciiTheme="minorHAnsi" w:hAnsiTheme="minorHAnsi" w:cstheme="minorHAnsi"/>
                <w:b/>
                <w:bCs/>
                <w:color w:val="0084A8"/>
                <w:sz w:val="24"/>
                <w:szCs w:val="24"/>
              </w:rPr>
            </w:pPr>
            <w:r w:rsidRPr="00544161">
              <w:rPr>
                <w:rFonts w:asciiTheme="minorHAnsi" w:hAnsiTheme="minorHAnsi" w:cstheme="minorHAnsi"/>
                <w:b/>
                <w:bCs/>
                <w:color w:val="0084A8"/>
              </w:rPr>
              <w:t>Engage</w:t>
            </w:r>
            <w:r w:rsidR="00581D7C" w:rsidRPr="00544161">
              <w:rPr>
                <w:rFonts w:asciiTheme="minorHAnsi" w:hAnsiTheme="minorHAnsi" w:cstheme="minorHAnsi"/>
                <w:b/>
                <w:bCs/>
                <w:color w:val="0084A8"/>
              </w:rPr>
              <w:t>r</w:t>
            </w:r>
          </w:p>
        </w:tc>
        <w:tc>
          <w:tcPr>
            <w:tcW w:w="2515" w:type="dxa"/>
            <w:tcMar>
              <w:top w:w="100" w:type="dxa"/>
              <w:left w:w="100" w:type="dxa"/>
              <w:bottom w:w="100" w:type="dxa"/>
              <w:right w:w="100" w:type="dxa"/>
            </w:tcMar>
            <w:hideMark/>
          </w:tcPr>
          <w:p w14:paraId="35E4C5A1" w14:textId="77777777" w:rsidR="005E62E5" w:rsidRPr="00544161" w:rsidRDefault="00B2035C" w:rsidP="00581D7C">
            <w:pPr>
              <w:jc w:val="left"/>
              <w:rPr>
                <w:rFonts w:asciiTheme="minorHAnsi" w:hAnsiTheme="minorHAnsi" w:cstheme="minorHAnsi"/>
                <w:sz w:val="24"/>
                <w:szCs w:val="24"/>
              </w:rPr>
            </w:pPr>
            <w:r w:rsidRPr="00544161">
              <w:rPr>
                <w:rFonts w:asciiTheme="minorHAnsi" w:hAnsiTheme="minorHAnsi" w:cstheme="minorHAnsi"/>
              </w:rPr>
              <w:t>L’établissement comme modèle</w:t>
            </w:r>
          </w:p>
        </w:tc>
      </w:tr>
      <w:tr w:rsidR="005E62E5" w:rsidRPr="00544161" w14:paraId="668C77DF" w14:textId="77777777">
        <w:trPr>
          <w:trHeight w:val="20"/>
        </w:trPr>
        <w:tc>
          <w:tcPr>
            <w:tcW w:w="1129" w:type="dxa"/>
            <w:vMerge/>
            <w:vAlign w:val="center"/>
            <w:hideMark/>
          </w:tcPr>
          <w:p w14:paraId="25048F14" w14:textId="77777777" w:rsidR="005E62E5" w:rsidRPr="00544161" w:rsidRDefault="005E62E5">
            <w:pPr>
              <w:rPr>
                <w:rFonts w:asciiTheme="minorHAnsi" w:hAnsiTheme="minorHAnsi" w:cstheme="minorHAnsi"/>
              </w:rPr>
            </w:pPr>
          </w:p>
        </w:tc>
        <w:tc>
          <w:tcPr>
            <w:tcW w:w="2515" w:type="dxa"/>
            <w:tcMar>
              <w:top w:w="100" w:type="dxa"/>
              <w:left w:w="100" w:type="dxa"/>
              <w:bottom w:w="100" w:type="dxa"/>
              <w:right w:w="100" w:type="dxa"/>
            </w:tcMar>
            <w:hideMark/>
          </w:tcPr>
          <w:p w14:paraId="3AF1BA7F" w14:textId="77777777" w:rsidR="005E62E5" w:rsidRPr="00544161" w:rsidRDefault="00B2035C">
            <w:pPr>
              <w:rPr>
                <w:rFonts w:asciiTheme="minorHAnsi" w:hAnsiTheme="minorHAnsi" w:cstheme="minorHAnsi"/>
              </w:rPr>
            </w:pPr>
            <w:r w:rsidRPr="00544161">
              <w:rPr>
                <w:rFonts w:asciiTheme="minorHAnsi" w:hAnsiTheme="minorHAnsi" w:cstheme="minorHAnsi"/>
              </w:rPr>
              <w:t>Engagement public</w:t>
            </w:r>
          </w:p>
        </w:tc>
      </w:tr>
    </w:tbl>
    <w:p w14:paraId="67DCCE05" w14:textId="7A8ED961" w:rsidR="005E62E5" w:rsidRPr="00544161" w:rsidRDefault="00B2035C" w:rsidP="00581D7C">
      <w:pPr>
        <w:spacing w:after="120"/>
        <w:rPr>
          <w:rFonts w:asciiTheme="minorHAnsi" w:hAnsiTheme="minorHAnsi" w:cstheme="minorHAnsi"/>
          <w:b/>
          <w:bCs/>
          <w:color w:val="0084A8"/>
          <w:sz w:val="22"/>
        </w:rPr>
      </w:pPr>
      <w:r w:rsidRPr="00544161">
        <w:rPr>
          <w:rFonts w:asciiTheme="minorHAnsi" w:hAnsiTheme="minorHAnsi" w:cstheme="minorHAnsi"/>
          <w:b/>
          <w:bCs/>
          <w:color w:val="0084A8"/>
          <w:sz w:val="22"/>
        </w:rPr>
        <w:t>Comment mesurer l’impact des écoles de commerce</w:t>
      </w:r>
    </w:p>
    <w:p w14:paraId="2FCB1C28" w14:textId="7BC9FF00" w:rsidR="005E62E5" w:rsidRPr="00544161" w:rsidRDefault="00B2035C" w:rsidP="00581D7C">
      <w:pPr>
        <w:rPr>
          <w:rFonts w:asciiTheme="minorHAnsi" w:hAnsiTheme="minorHAnsi" w:cstheme="minorHAnsi"/>
          <w:sz w:val="20"/>
          <w:szCs w:val="20"/>
        </w:rPr>
      </w:pPr>
      <w:r w:rsidRPr="00544161">
        <w:rPr>
          <w:rFonts w:asciiTheme="minorHAnsi" w:hAnsiTheme="minorHAnsi" w:cstheme="minorHAnsi"/>
          <w:sz w:val="20"/>
          <w:szCs w:val="20"/>
        </w:rPr>
        <w:t>L’objectif de cette évaluation est de servir de levier de changement dans le cadre de la grande nécessité de transformation profonde des écoles de commerce. Les classements ont gagné en importance et cette évaluation se base sur ce phénomène en offrant une nouvelle manière, espérons-le meilleure, d’évaluer les écoles de commerce au 21</w:t>
      </w:r>
      <w:r w:rsidRPr="00544161">
        <w:rPr>
          <w:rFonts w:asciiTheme="minorHAnsi" w:hAnsiTheme="minorHAnsi" w:cstheme="minorHAnsi"/>
          <w:sz w:val="20"/>
          <w:szCs w:val="20"/>
          <w:vertAlign w:val="superscript"/>
        </w:rPr>
        <w:t>ème</w:t>
      </w:r>
      <w:r w:rsidRPr="00544161">
        <w:rPr>
          <w:rFonts w:asciiTheme="minorHAnsi" w:hAnsiTheme="minorHAnsi" w:cstheme="minorHAnsi"/>
          <w:sz w:val="20"/>
          <w:szCs w:val="20"/>
        </w:rPr>
        <w:t xml:space="preserve"> siècle. L’impact des écoles de commerce est mesuré dans trois domaines (dynamisation, éducation et engagement) qui sont, à leur tour, divisés en sept dimensions (voir tableau). Ces dimensions incluent l’évaluation des programmes proposés et des méthodes d’apprentissage utilisées, et la façon dont les étudiants s’engagent activement. Sont évaluées la culture et la gouvernance, des facteurs qui permettent de prédire si l’école aura un impact positif. On se penche aussi sur la façon dont les membres de l’école sont perçus en matière d’engagement public et dont l’école est considérée dans son rôle de modèle aux yeux des étudiants. </w:t>
      </w:r>
    </w:p>
    <w:p w14:paraId="75906B8D" w14:textId="3CD70078" w:rsidR="005E62E5" w:rsidRPr="00544161" w:rsidRDefault="005E62E5" w:rsidP="00581D7C">
      <w:pPr>
        <w:rPr>
          <w:rFonts w:asciiTheme="minorHAnsi" w:hAnsiTheme="minorHAnsi" w:cstheme="minorHAnsi"/>
          <w:sz w:val="20"/>
          <w:szCs w:val="20"/>
        </w:rPr>
      </w:pPr>
    </w:p>
    <w:p w14:paraId="1F39CB65" w14:textId="77777777" w:rsidR="00581D7C" w:rsidRPr="00544161" w:rsidRDefault="00581D7C" w:rsidP="00581D7C">
      <w:pPr>
        <w:rPr>
          <w:rFonts w:asciiTheme="minorHAnsi" w:hAnsiTheme="minorHAnsi" w:cstheme="minorHAnsi"/>
          <w:sz w:val="20"/>
          <w:szCs w:val="20"/>
        </w:rPr>
      </w:pPr>
    </w:p>
    <w:p w14:paraId="4FE299A9" w14:textId="57B755EA" w:rsidR="005E62E5" w:rsidRPr="00544161" w:rsidRDefault="00B2035C" w:rsidP="00581D7C">
      <w:pPr>
        <w:spacing w:after="120"/>
        <w:rPr>
          <w:rFonts w:asciiTheme="minorHAnsi" w:hAnsiTheme="minorHAnsi" w:cstheme="minorHAnsi"/>
          <w:b/>
          <w:bCs/>
          <w:color w:val="0084A8"/>
          <w:sz w:val="22"/>
        </w:rPr>
      </w:pPr>
      <w:r w:rsidRPr="00544161">
        <w:rPr>
          <w:rFonts w:asciiTheme="minorHAnsi" w:hAnsiTheme="minorHAnsi" w:cstheme="minorHAnsi"/>
          <w:b/>
          <w:bCs/>
          <w:color w:val="0084A8"/>
          <w:sz w:val="22"/>
        </w:rPr>
        <w:t>Permettre l’apprentissage partagé et le changement</w:t>
      </w:r>
    </w:p>
    <w:p w14:paraId="407AF7CF" w14:textId="10F321D6" w:rsidR="005E62E5" w:rsidRPr="00544161" w:rsidRDefault="00B2035C" w:rsidP="00581D7C">
      <w:pPr>
        <w:rPr>
          <w:rFonts w:asciiTheme="minorHAnsi" w:hAnsiTheme="minorHAnsi" w:cstheme="minorHAnsi"/>
          <w:sz w:val="20"/>
          <w:szCs w:val="20"/>
        </w:rPr>
      </w:pPr>
      <w:r w:rsidRPr="00544161">
        <w:rPr>
          <w:rFonts w:asciiTheme="minorHAnsi" w:hAnsiTheme="minorHAnsi" w:cstheme="minorHAnsi"/>
          <w:sz w:val="20"/>
          <w:szCs w:val="20"/>
        </w:rPr>
        <w:t xml:space="preserve">L’objectif de cette évaluation de l’impact positif est de permettre l’apprentissage dans et à travers les écoles, plutôt que de créer un classement d’écoles concurrentes. Ce genre d’évaluation apporte une certaine sécurité aux groupes plutôt que des notes individuelles et vise à promouvoir la collaboration. Les écoles sont donc positionnées dans cinq niveaux différents dans lesquels elles sont classées par ordre alphabétique. Les étudiants et la direction de chaque école participante reçoivent l’accès en ligne gratuit à un tableau de bord répertoriant les résultats de l’école dans les différents domaines en comparaison à la moyenne de toutes les écoles. Cela leur permet de travailler activement à améliorer leur impact positive. Certains étudiants ont rapporté que des réunions sont déjà programmées avec la direction de l’école. </w:t>
      </w:r>
    </w:p>
    <w:p w14:paraId="5A65D181" w14:textId="77777777" w:rsidR="005E62E5" w:rsidRPr="00544161" w:rsidRDefault="005E62E5" w:rsidP="00581D7C">
      <w:pPr>
        <w:rPr>
          <w:rFonts w:asciiTheme="minorHAnsi" w:hAnsiTheme="minorHAnsi" w:cstheme="minorHAnsi"/>
          <w:sz w:val="20"/>
          <w:szCs w:val="20"/>
        </w:rPr>
      </w:pPr>
    </w:p>
    <w:p w14:paraId="024EA3B5" w14:textId="75AE7F3E" w:rsidR="005E62E5" w:rsidRPr="00544161" w:rsidRDefault="00B2035C" w:rsidP="00581D7C">
      <w:pPr>
        <w:spacing w:after="120"/>
        <w:rPr>
          <w:rFonts w:asciiTheme="minorHAnsi" w:hAnsiTheme="minorHAnsi" w:cstheme="minorHAnsi"/>
          <w:b/>
          <w:bCs/>
          <w:color w:val="0084A8"/>
          <w:sz w:val="22"/>
        </w:rPr>
      </w:pPr>
      <w:r w:rsidRPr="00544161">
        <w:rPr>
          <w:rFonts w:asciiTheme="minorHAnsi" w:hAnsiTheme="minorHAnsi" w:cstheme="minorHAnsi"/>
          <w:b/>
          <w:bCs/>
          <w:color w:val="0084A8"/>
          <w:sz w:val="22"/>
        </w:rPr>
        <w:t xml:space="preserve">Quels sont les résultats des écoles participantes </w:t>
      </w:r>
    </w:p>
    <w:p w14:paraId="556252A3" w14:textId="77777777" w:rsidR="005E62E5" w:rsidRPr="00544161" w:rsidRDefault="00B2035C" w:rsidP="00581D7C">
      <w:pPr>
        <w:spacing w:after="120"/>
        <w:rPr>
          <w:rFonts w:asciiTheme="minorHAnsi" w:hAnsiTheme="minorHAnsi" w:cstheme="minorHAnsi"/>
          <w:sz w:val="20"/>
          <w:szCs w:val="20"/>
        </w:rPr>
      </w:pPr>
      <w:r w:rsidRPr="00544161">
        <w:rPr>
          <w:rFonts w:asciiTheme="minorHAnsi" w:hAnsiTheme="minorHAnsi" w:cstheme="minorHAnsi"/>
          <w:sz w:val="20"/>
          <w:szCs w:val="20"/>
        </w:rPr>
        <w:t xml:space="preserve">Dans cette première édition du PIR, nous avons cherché à en savoir plus sur un ensemble varié d’écoles supérieures présentes dans le monde. Pour ce faire, des organisations internationales d’étudiants ont pris contact avec les 50 meilleures écoles du classement Financial Times Masters in Management 2018 (FT) et les 50 meilleures écoles du classement </w:t>
      </w:r>
      <w:proofErr w:type="spellStart"/>
      <w:r w:rsidRPr="00544161">
        <w:rPr>
          <w:rFonts w:asciiTheme="minorHAnsi" w:hAnsiTheme="minorHAnsi" w:cstheme="minorHAnsi"/>
          <w:sz w:val="20"/>
          <w:szCs w:val="20"/>
        </w:rPr>
        <w:t>Corporate</w:t>
      </w:r>
      <w:proofErr w:type="spellEnd"/>
      <w:r w:rsidRPr="00544161">
        <w:rPr>
          <w:rFonts w:asciiTheme="minorHAnsi" w:hAnsiTheme="minorHAnsi" w:cstheme="minorHAnsi"/>
          <w:sz w:val="20"/>
          <w:szCs w:val="20"/>
        </w:rPr>
        <w:t xml:space="preserve"> Knights Green MBA (CK). 51 écoles de commerce ont participé à l’évaluation. </w:t>
      </w:r>
    </w:p>
    <w:p w14:paraId="2FE84213" w14:textId="23B1D76F" w:rsidR="005E62E5" w:rsidRPr="00544161" w:rsidRDefault="00B2035C" w:rsidP="00581D7C">
      <w:pPr>
        <w:spacing w:after="120"/>
        <w:rPr>
          <w:rFonts w:asciiTheme="minorHAnsi" w:hAnsiTheme="minorHAnsi" w:cstheme="minorHAnsi"/>
          <w:sz w:val="20"/>
          <w:szCs w:val="20"/>
        </w:rPr>
      </w:pPr>
      <w:r w:rsidRPr="00544161">
        <w:rPr>
          <w:rFonts w:asciiTheme="minorHAnsi" w:hAnsiTheme="minorHAnsi" w:cstheme="minorHAnsi"/>
          <w:sz w:val="20"/>
          <w:szCs w:val="20"/>
        </w:rPr>
        <w:t>Le PIR révèle que 30 écoles supérieures ont obtenu de bons résultats dans cette évaluation. Alors qu’aucune école n’a atteint le top niveau 5, neuf sont classées au niveau 4. Ces « </w:t>
      </w:r>
      <w:r w:rsidRPr="00544161">
        <w:rPr>
          <w:rFonts w:asciiTheme="minorHAnsi" w:hAnsiTheme="minorHAnsi" w:cstheme="minorHAnsi"/>
          <w:b/>
          <w:bCs/>
          <w:sz w:val="20"/>
          <w:szCs w:val="20"/>
        </w:rPr>
        <w:t>écoles en phase de transformation</w:t>
      </w:r>
      <w:r w:rsidRPr="00544161">
        <w:rPr>
          <w:rFonts w:asciiTheme="minorHAnsi" w:hAnsiTheme="minorHAnsi" w:cstheme="minorHAnsi"/>
          <w:sz w:val="20"/>
          <w:szCs w:val="20"/>
        </w:rPr>
        <w:t> » ont une culture à impact positif, imbriquée dans la gouvernance et les systèmes, avec des résultats visibles dans un certain nombre de dimensions. 21 autres écoles sont classées au niveau 3. Ces « </w:t>
      </w:r>
      <w:r w:rsidRPr="00544161">
        <w:rPr>
          <w:rFonts w:asciiTheme="minorHAnsi" w:hAnsiTheme="minorHAnsi" w:cstheme="minorHAnsi"/>
          <w:b/>
          <w:bCs/>
          <w:sz w:val="20"/>
          <w:szCs w:val="20"/>
        </w:rPr>
        <w:t>écoles en pleine progression</w:t>
      </w:r>
      <w:r w:rsidRPr="00544161">
        <w:rPr>
          <w:rFonts w:asciiTheme="minorHAnsi" w:hAnsiTheme="minorHAnsi" w:cstheme="minorHAnsi"/>
          <w:sz w:val="20"/>
          <w:szCs w:val="20"/>
        </w:rPr>
        <w:t xml:space="preserve"> » affichent de bons résultats dans certaines dimensions. Dans l’esprit du renforcement des bonnes pratiques, l’évaluation ne retient pas les écoles classées en dessous du niveau 3. </w:t>
      </w:r>
    </w:p>
    <w:p w14:paraId="2F04C485" w14:textId="64F3FC27" w:rsidR="005E62E5" w:rsidRPr="00544161" w:rsidRDefault="00B2035C" w:rsidP="00581D7C">
      <w:pPr>
        <w:spacing w:after="120"/>
        <w:rPr>
          <w:rFonts w:asciiTheme="minorHAnsi" w:hAnsiTheme="minorHAnsi" w:cstheme="minorHAnsi"/>
          <w:sz w:val="20"/>
          <w:szCs w:val="20"/>
        </w:rPr>
      </w:pPr>
      <w:r w:rsidRPr="00544161">
        <w:rPr>
          <w:rFonts w:asciiTheme="minorHAnsi" w:hAnsiTheme="minorHAnsi" w:cstheme="minorHAnsi"/>
          <w:sz w:val="20"/>
          <w:szCs w:val="20"/>
        </w:rPr>
        <w:t>Les neuf écoles en phase de transformation au niveau 4 obtiennent des résultats nettement meilleurs dans la gouvernance des dimensions (23 % de plus) et la culture (18 % de plus) que le reste des écoles, ce qui montre l’importance de ces dimensions dans le processus de changement.</w:t>
      </w:r>
    </w:p>
    <w:p w14:paraId="3301FF6E" w14:textId="67E820F8" w:rsidR="005E62E5" w:rsidRPr="00544161" w:rsidRDefault="00B2035C" w:rsidP="00581D7C">
      <w:pPr>
        <w:rPr>
          <w:rFonts w:asciiTheme="minorHAnsi" w:hAnsiTheme="minorHAnsi" w:cstheme="minorHAnsi"/>
          <w:sz w:val="20"/>
          <w:szCs w:val="20"/>
        </w:rPr>
      </w:pPr>
      <w:r w:rsidRPr="00544161">
        <w:rPr>
          <w:rFonts w:asciiTheme="minorHAnsi" w:hAnsiTheme="minorHAnsi" w:cstheme="minorHAnsi"/>
          <w:sz w:val="20"/>
          <w:szCs w:val="20"/>
        </w:rPr>
        <w:t>Parmi les 51 écoles participantes, 26 apparaissent dans le classement FT et 19 dans le CK. Parmi les 30 meilleures écoles, 13 sont classées au FT et 11 au CK. Il est intéressant de voir qu’il n’y a pas d’école du top 25 du classement FT parmi celles classées au niveau 4, alors que le niveau 4 en inclut trois du top 10 du classement CK. Les classements FT et CK mesurent la qualité différemment, le CK « vert » portant davantage sur la mesure de l’impact.</w:t>
      </w:r>
    </w:p>
    <w:p w14:paraId="4F45A7E7" w14:textId="77777777" w:rsidR="00581D7C" w:rsidRPr="00544161" w:rsidRDefault="00581D7C" w:rsidP="00581D7C">
      <w:pPr>
        <w:rPr>
          <w:rFonts w:asciiTheme="minorHAnsi" w:hAnsiTheme="minorHAnsi" w:cstheme="minorHAnsi"/>
          <w:sz w:val="20"/>
          <w:szCs w:val="20"/>
        </w:rPr>
      </w:pPr>
    </w:p>
    <w:p w14:paraId="44F530F2" w14:textId="163B8459" w:rsidR="005E62E5" w:rsidRPr="00544161" w:rsidRDefault="005E62E5" w:rsidP="00581D7C">
      <w:pPr>
        <w:rPr>
          <w:rFonts w:asciiTheme="minorHAnsi" w:hAnsiTheme="minorHAnsi" w:cstheme="minorHAnsi"/>
          <w:sz w:val="20"/>
          <w:szCs w:val="20"/>
        </w:rPr>
      </w:pPr>
    </w:p>
    <w:p w14:paraId="43AE2515" w14:textId="7A365C46" w:rsidR="005E62E5" w:rsidRPr="00544161" w:rsidRDefault="00B2035C" w:rsidP="00581D7C">
      <w:pPr>
        <w:spacing w:after="120"/>
        <w:rPr>
          <w:rFonts w:asciiTheme="minorHAnsi" w:hAnsiTheme="minorHAnsi" w:cstheme="minorHAnsi"/>
          <w:b/>
          <w:bCs/>
          <w:color w:val="0084A8"/>
          <w:sz w:val="22"/>
        </w:rPr>
      </w:pPr>
      <w:r w:rsidRPr="00544161">
        <w:rPr>
          <w:rFonts w:asciiTheme="minorHAnsi" w:hAnsiTheme="minorHAnsi" w:cstheme="minorHAnsi"/>
          <w:b/>
          <w:bCs/>
          <w:color w:val="0084A8"/>
          <w:sz w:val="22"/>
        </w:rPr>
        <w:t xml:space="preserve">S’améliorer et tirer des leçons des meilleures écoles </w:t>
      </w:r>
    </w:p>
    <w:p w14:paraId="1DC954CE" w14:textId="4DB48A3D" w:rsidR="005E62E5" w:rsidRPr="00544161" w:rsidRDefault="00B2035C" w:rsidP="00581D7C">
      <w:pPr>
        <w:spacing w:after="120"/>
        <w:rPr>
          <w:rFonts w:asciiTheme="minorHAnsi" w:hAnsiTheme="minorHAnsi" w:cstheme="minorHAnsi"/>
          <w:sz w:val="20"/>
          <w:szCs w:val="20"/>
        </w:rPr>
      </w:pPr>
      <w:r w:rsidRPr="00544161">
        <w:rPr>
          <w:rFonts w:asciiTheme="minorHAnsi" w:hAnsiTheme="minorHAnsi" w:cstheme="minorHAnsi"/>
          <w:sz w:val="20"/>
          <w:szCs w:val="20"/>
        </w:rPr>
        <w:lastRenderedPageBreak/>
        <w:t xml:space="preserve">Les étudiants affirment clairement dans leur évaluation que les écoles ont lieu de s’améliorer lorsqu’il s’agit de les préparer à relever des défis en matière de développement durable dans leurs métiers et pour ce qui est des rapports des écoles sur leurs performances en termes de responsabilité et de durabilité (rôle de modèle : plus bas score global au niveau des dimensions). Les étudiants critiquent aussi leurs écoles quant à leur engagement public et constatent le faible niveau d’engagement des étudiants (deuxième et troisième plus bas score au niveau des dimensions). </w:t>
      </w:r>
    </w:p>
    <w:p w14:paraId="26C9290B" w14:textId="7BE3613C" w:rsidR="005E62E5" w:rsidRPr="00544161" w:rsidRDefault="00B2035C" w:rsidP="00581D7C">
      <w:pPr>
        <w:spacing w:after="120"/>
        <w:rPr>
          <w:rFonts w:asciiTheme="minorHAnsi" w:hAnsiTheme="minorHAnsi" w:cstheme="minorHAnsi"/>
          <w:sz w:val="20"/>
          <w:szCs w:val="20"/>
        </w:rPr>
      </w:pPr>
      <w:r w:rsidRPr="00544161">
        <w:rPr>
          <w:rFonts w:asciiTheme="minorHAnsi" w:hAnsiTheme="minorHAnsi" w:cstheme="minorHAnsi"/>
          <w:sz w:val="20"/>
          <w:szCs w:val="20"/>
        </w:rPr>
        <w:t xml:space="preserve">Les neuf écoles les mieux classées au niveau 4 sont reconnues par leurs étudiants pour inclure le développement durable et l’engagement sociétal dans leur mission et pour le degré auquel ces thèmes sont considérés comme des moteurs pour l’école (23 % de plus que la moyenne). Ces écoles sont aussi reconnues par leurs étudiants pour leur culture qui est en harmonie avec l’objectif de leur école, pour la plupart de leurs membres très motivés plaçant leur intérêt personnel au second rang et pour soutenir fortement le développement de chacun (18 % de plus que la moyenne). </w:t>
      </w:r>
    </w:p>
    <w:p w14:paraId="25D07A07" w14:textId="77777777" w:rsidR="005E62E5" w:rsidRPr="00544161" w:rsidRDefault="00B2035C" w:rsidP="00581D7C">
      <w:pPr>
        <w:rPr>
          <w:rFonts w:asciiTheme="minorHAnsi" w:hAnsiTheme="minorHAnsi" w:cstheme="minorHAnsi"/>
          <w:sz w:val="20"/>
          <w:szCs w:val="20"/>
        </w:rPr>
      </w:pPr>
      <w:r w:rsidRPr="00544161">
        <w:rPr>
          <w:rFonts w:asciiTheme="minorHAnsi" w:hAnsiTheme="minorHAnsi" w:cstheme="minorHAnsi"/>
          <w:sz w:val="20"/>
          <w:szCs w:val="20"/>
        </w:rPr>
        <w:t>Le rapport d’évaluation complet du PIR comprend des exemples de bonnes pratiques de ces écoles qui ont obtenu des résultats exceptionnels dans l’une ou l’autre de ces sept dimensions. Ces exemples visent à inciter les écoles à échanger entre elles et à tirer des leçons d’autres écoles, au niveau régional ou en fonction des priorités de changement.</w:t>
      </w:r>
    </w:p>
    <w:p w14:paraId="3A49FF76" w14:textId="77777777" w:rsidR="004B001D" w:rsidRPr="00544161" w:rsidRDefault="004B001D" w:rsidP="00581D7C">
      <w:pPr>
        <w:rPr>
          <w:rFonts w:asciiTheme="minorHAnsi" w:hAnsiTheme="minorHAnsi" w:cstheme="minorHAnsi"/>
          <w:sz w:val="20"/>
          <w:szCs w:val="20"/>
        </w:rPr>
      </w:pPr>
    </w:p>
    <w:p w14:paraId="71AF2C87" w14:textId="7F67DD9F" w:rsidR="005E62E5" w:rsidRPr="00544161" w:rsidRDefault="00B2035C" w:rsidP="00581D7C">
      <w:pPr>
        <w:spacing w:after="120"/>
        <w:rPr>
          <w:rFonts w:asciiTheme="minorHAnsi" w:hAnsiTheme="minorHAnsi" w:cstheme="minorHAnsi"/>
          <w:b/>
          <w:bCs/>
          <w:color w:val="0084A8"/>
          <w:sz w:val="22"/>
        </w:rPr>
      </w:pPr>
      <w:r w:rsidRPr="00544161">
        <w:rPr>
          <w:rFonts w:asciiTheme="minorHAnsi" w:hAnsiTheme="minorHAnsi" w:cstheme="minorHAnsi"/>
          <w:b/>
          <w:bCs/>
          <w:color w:val="0084A8"/>
          <w:sz w:val="22"/>
        </w:rPr>
        <w:t>Par les étudiants pour les étudiants</w:t>
      </w:r>
    </w:p>
    <w:p w14:paraId="762601AF" w14:textId="19D0E461" w:rsidR="005E62E5" w:rsidRPr="00544161" w:rsidRDefault="00B2035C" w:rsidP="00581D7C">
      <w:pPr>
        <w:rPr>
          <w:rFonts w:asciiTheme="minorHAnsi" w:hAnsiTheme="minorHAnsi" w:cstheme="minorHAnsi"/>
          <w:sz w:val="20"/>
          <w:szCs w:val="20"/>
        </w:rPr>
      </w:pPr>
      <w:r w:rsidRPr="00544161">
        <w:rPr>
          <w:rFonts w:asciiTheme="minorHAnsi" w:hAnsiTheme="minorHAnsi" w:cstheme="minorHAnsi"/>
          <w:sz w:val="20"/>
          <w:szCs w:val="20"/>
        </w:rPr>
        <w:t xml:space="preserve">Les organisations internationales d’étudiants </w:t>
      </w:r>
      <w:proofErr w:type="spellStart"/>
      <w:r w:rsidRPr="00544161">
        <w:rPr>
          <w:rFonts w:asciiTheme="minorHAnsi" w:hAnsiTheme="minorHAnsi" w:cstheme="minorHAnsi"/>
          <w:sz w:val="20"/>
          <w:szCs w:val="20"/>
        </w:rPr>
        <w:t>oikos</w:t>
      </w:r>
      <w:proofErr w:type="spellEnd"/>
      <w:r w:rsidRPr="00544161">
        <w:rPr>
          <w:rFonts w:asciiTheme="minorHAnsi" w:hAnsiTheme="minorHAnsi" w:cstheme="minorHAnsi"/>
          <w:sz w:val="20"/>
          <w:szCs w:val="20"/>
        </w:rPr>
        <w:t xml:space="preserve">, AIESEC et Net Impact ont uni leurs efforts à WWF Switzerland, OXFAM International et UN Global Compact Switzerland pour mener à bien cette évaluation totalement nouvelle des écoles de commerce. Ensemble, ces parties prenantes représentent l’environnement, la société, le commerce et la prochaine génération. En plus de transformer les écoles de commerce, elles entendent fournir un outil de sélection pertinent pour les futurs étudiants. Nombre de ces futurs étudiants veillent profondément à se démarquer positivement dans leurs vies professionnelles, mais ils ne savent pas nécessairement comment trouver l’école de commerce adéquate. Cette évaluation est un outil pour cette prochaine génération d’agents de change et est, en tant que telle, une réponse aux exigences largement répandues d’impact positif vis-à-vis des </w:t>
      </w:r>
      <w:r w:rsidRPr="00544161">
        <w:rPr>
          <w:rFonts w:asciiTheme="minorHAnsi" w:eastAsia="Times New Roman" w:hAnsiTheme="minorHAnsi" w:cstheme="minorHAnsi"/>
          <w:sz w:val="20"/>
          <w:szCs w:val="20"/>
        </w:rPr>
        <w:t>écoles de commerce</w:t>
      </w:r>
      <w:r w:rsidR="00581D7C" w:rsidRPr="00544161">
        <w:rPr>
          <w:rFonts w:asciiTheme="minorHAnsi" w:hAnsiTheme="minorHAnsi" w:cstheme="minorHAnsi"/>
          <w:sz w:val="20"/>
          <w:szCs w:val="20"/>
        </w:rPr>
        <w:t>.</w:t>
      </w:r>
    </w:p>
    <w:p w14:paraId="1C0334DC" w14:textId="7DD6174E" w:rsidR="005E62E5" w:rsidRPr="00544161" w:rsidRDefault="005E62E5" w:rsidP="00581D7C">
      <w:pPr>
        <w:spacing w:before="240"/>
        <w:rPr>
          <w:rFonts w:asciiTheme="minorHAnsi" w:hAnsiTheme="minorHAnsi" w:cstheme="minorHAnsi"/>
          <w:sz w:val="20"/>
          <w:szCs w:val="20"/>
        </w:rPr>
      </w:pPr>
    </w:p>
    <w:p w14:paraId="194902C6" w14:textId="20FC2E16" w:rsidR="00581D7C" w:rsidRPr="00544161" w:rsidRDefault="00581D7C" w:rsidP="00581D7C">
      <w:pPr>
        <w:spacing w:before="240"/>
        <w:rPr>
          <w:rFonts w:asciiTheme="minorHAnsi" w:hAnsiTheme="minorHAnsi" w:cstheme="minorHAnsi"/>
          <w:sz w:val="20"/>
          <w:szCs w:val="20"/>
        </w:rPr>
      </w:pPr>
    </w:p>
    <w:p w14:paraId="0580D8C3" w14:textId="3B08715B" w:rsidR="00581D7C" w:rsidRPr="00544161" w:rsidRDefault="00581D7C" w:rsidP="00581D7C">
      <w:pPr>
        <w:spacing w:before="240"/>
        <w:rPr>
          <w:rFonts w:asciiTheme="minorHAnsi" w:hAnsiTheme="minorHAnsi" w:cstheme="minorHAnsi"/>
          <w:sz w:val="20"/>
          <w:szCs w:val="20"/>
        </w:rPr>
      </w:pPr>
    </w:p>
    <w:p w14:paraId="4DF17298" w14:textId="77777777" w:rsidR="00581D7C" w:rsidRPr="00544161" w:rsidRDefault="00581D7C" w:rsidP="00581D7C">
      <w:pPr>
        <w:spacing w:before="240"/>
        <w:rPr>
          <w:rFonts w:asciiTheme="minorHAnsi" w:hAnsiTheme="minorHAnsi" w:cstheme="minorHAnsi"/>
          <w:sz w:val="20"/>
          <w:szCs w:val="20"/>
        </w:rPr>
      </w:pPr>
    </w:p>
    <w:p w14:paraId="789F7696" w14:textId="5D081795" w:rsidR="005E62E5" w:rsidRPr="00544161" w:rsidRDefault="00B2035C">
      <w:pPr>
        <w:shd w:val="clear" w:color="auto" w:fill="D9D9D9" w:themeFill="background1" w:themeFillShade="D9"/>
        <w:jc w:val="left"/>
        <w:rPr>
          <w:rFonts w:asciiTheme="minorHAnsi" w:hAnsiTheme="minorHAnsi" w:cstheme="minorHAnsi"/>
          <w:szCs w:val="21"/>
          <w:u w:val="single"/>
        </w:rPr>
      </w:pPr>
      <w:r w:rsidRPr="00544161">
        <w:rPr>
          <w:rFonts w:asciiTheme="minorHAnsi" w:hAnsiTheme="minorHAnsi" w:cstheme="minorHAnsi"/>
          <w:b/>
          <w:bCs/>
          <w:sz w:val="22"/>
        </w:rPr>
        <w:t>Pour plus d’informations :</w:t>
      </w:r>
      <w:r w:rsidRPr="00544161">
        <w:rPr>
          <w:rFonts w:asciiTheme="minorHAnsi" w:hAnsiTheme="minorHAnsi" w:cstheme="minorHAnsi"/>
          <w:sz w:val="22"/>
        </w:rPr>
        <w:t xml:space="preserve">   </w:t>
      </w:r>
      <w:hyperlink r:id="rId9" w:history="1">
        <w:r w:rsidRPr="00544161">
          <w:rPr>
            <w:rStyle w:val="Hyperlink"/>
            <w:rFonts w:asciiTheme="minorHAnsi" w:hAnsiTheme="minorHAnsi" w:cstheme="minorHAnsi"/>
          </w:rPr>
          <w:t>www.PositiveImpactRating.org</w:t>
        </w:r>
      </w:hyperlink>
      <w:r w:rsidRPr="00544161">
        <w:rPr>
          <w:rFonts w:asciiTheme="minorHAnsi" w:hAnsiTheme="minorHAnsi" w:cstheme="minorHAnsi"/>
        </w:rPr>
        <w:t xml:space="preserve">  |   @</w:t>
      </w:r>
      <w:proofErr w:type="spellStart"/>
      <w:r w:rsidRPr="00544161">
        <w:rPr>
          <w:rFonts w:asciiTheme="minorHAnsi" w:hAnsiTheme="minorHAnsi" w:cstheme="minorHAnsi"/>
        </w:rPr>
        <w:t>RatingImpact</w:t>
      </w:r>
      <w:proofErr w:type="spellEnd"/>
      <w:r w:rsidRPr="00544161">
        <w:rPr>
          <w:rFonts w:asciiTheme="minorHAnsi" w:hAnsiTheme="minorHAnsi" w:cstheme="minorHAnsi"/>
        </w:rPr>
        <w:t xml:space="preserve">   |   #</w:t>
      </w:r>
      <w:proofErr w:type="spellStart"/>
      <w:r w:rsidRPr="00544161">
        <w:rPr>
          <w:rFonts w:asciiTheme="minorHAnsi" w:hAnsiTheme="minorHAnsi" w:cstheme="minorHAnsi"/>
        </w:rPr>
        <w:t>RatingImpact</w:t>
      </w:r>
      <w:proofErr w:type="spellEnd"/>
    </w:p>
    <w:p w14:paraId="18954DC2" w14:textId="2596F130" w:rsidR="005E62E5" w:rsidRPr="00544161" w:rsidRDefault="00B2035C">
      <w:pPr>
        <w:shd w:val="clear" w:color="auto" w:fill="D9D9D9" w:themeFill="background1" w:themeFillShade="D9"/>
        <w:spacing w:before="120"/>
        <w:jc w:val="left"/>
        <w:rPr>
          <w:rFonts w:asciiTheme="minorHAnsi" w:eastAsia="Times New Roman" w:hAnsiTheme="minorHAnsi" w:cstheme="minorHAnsi"/>
          <w:szCs w:val="21"/>
          <w:u w:val="single"/>
        </w:rPr>
      </w:pPr>
      <w:r w:rsidRPr="00544161">
        <w:rPr>
          <w:rFonts w:asciiTheme="minorHAnsi" w:hAnsiTheme="minorHAnsi" w:cstheme="minorHAnsi"/>
          <w:b/>
          <w:bCs/>
          <w:sz w:val="22"/>
        </w:rPr>
        <w:t>Contact pour les médias et communications :</w:t>
      </w:r>
      <w:r w:rsidRPr="00544161">
        <w:rPr>
          <w:rFonts w:asciiTheme="minorHAnsi" w:hAnsiTheme="minorHAnsi" w:cstheme="minorHAnsi"/>
          <w:sz w:val="22"/>
        </w:rPr>
        <w:t xml:space="preserve"> </w:t>
      </w:r>
      <w:r w:rsidRPr="00544161">
        <w:rPr>
          <w:rFonts w:asciiTheme="minorHAnsi" w:hAnsiTheme="minorHAnsi" w:cstheme="minorHAnsi"/>
          <w:szCs w:val="21"/>
        </w:rPr>
        <w:t xml:space="preserve">Katrin Muff, Présidente de l’association Positive Impact Rating </w:t>
      </w:r>
    </w:p>
    <w:p w14:paraId="32D4C94B" w14:textId="40E1009D" w:rsidR="005E62E5" w:rsidRPr="00544161" w:rsidRDefault="00950CCE">
      <w:pPr>
        <w:shd w:val="clear" w:color="auto" w:fill="D9D9D9" w:themeFill="background1" w:themeFillShade="D9"/>
        <w:jc w:val="left"/>
        <w:rPr>
          <w:rFonts w:asciiTheme="minorHAnsi" w:eastAsia="Times New Roman" w:hAnsiTheme="minorHAnsi" w:cstheme="minorHAnsi"/>
          <w:szCs w:val="21"/>
          <w:u w:val="single"/>
        </w:rPr>
      </w:pPr>
      <w:hyperlink r:id="rId10" w:history="1">
        <w:r w:rsidR="00B2035C" w:rsidRPr="00544161">
          <w:rPr>
            <w:rStyle w:val="Hyperlink"/>
            <w:rFonts w:asciiTheme="minorHAnsi" w:eastAsia="Times New Roman" w:hAnsiTheme="minorHAnsi" w:cstheme="minorHAnsi"/>
            <w:szCs w:val="21"/>
          </w:rPr>
          <w:t>Katrin.Muff@PositiveImpactRating.org</w:t>
        </w:r>
      </w:hyperlink>
      <w:r w:rsidR="00B2035C" w:rsidRPr="00544161">
        <w:rPr>
          <w:rFonts w:asciiTheme="minorHAnsi" w:hAnsiTheme="minorHAnsi" w:cstheme="minorHAnsi"/>
          <w:szCs w:val="21"/>
        </w:rPr>
        <w:t>, réseaux sociaux : @</w:t>
      </w:r>
      <w:proofErr w:type="spellStart"/>
      <w:r w:rsidR="00B2035C" w:rsidRPr="00544161">
        <w:rPr>
          <w:rFonts w:asciiTheme="minorHAnsi" w:hAnsiTheme="minorHAnsi" w:cstheme="minorHAnsi"/>
          <w:szCs w:val="21"/>
        </w:rPr>
        <w:t>KatrinMuff</w:t>
      </w:r>
      <w:proofErr w:type="spellEnd"/>
      <w:r w:rsidR="00B2035C" w:rsidRPr="00544161">
        <w:rPr>
          <w:rFonts w:asciiTheme="minorHAnsi" w:hAnsiTheme="minorHAnsi" w:cstheme="minorHAnsi"/>
          <w:szCs w:val="21"/>
        </w:rPr>
        <w:t xml:space="preserve">, Skype : </w:t>
      </w:r>
      <w:proofErr w:type="spellStart"/>
      <w:r w:rsidR="00B2035C" w:rsidRPr="00544161">
        <w:rPr>
          <w:rFonts w:asciiTheme="minorHAnsi" w:hAnsiTheme="minorHAnsi" w:cstheme="minorHAnsi"/>
          <w:szCs w:val="21"/>
        </w:rPr>
        <w:t>Katrin.Muff</w:t>
      </w:r>
      <w:proofErr w:type="spellEnd"/>
      <w:r w:rsidR="00B2035C" w:rsidRPr="00544161">
        <w:rPr>
          <w:rFonts w:asciiTheme="minorHAnsi" w:hAnsiTheme="minorHAnsi" w:cstheme="minorHAnsi"/>
          <w:szCs w:val="21"/>
        </w:rPr>
        <w:t>, téléphone : +41 79 310 0392</w:t>
      </w:r>
    </w:p>
    <w:p w14:paraId="084637F2" w14:textId="72A0B833" w:rsidR="005E62E5" w:rsidRPr="00544161" w:rsidRDefault="005E62E5">
      <w:pPr>
        <w:rPr>
          <w:rFonts w:asciiTheme="minorHAnsi" w:hAnsiTheme="minorHAnsi" w:cstheme="minorHAnsi"/>
          <w:sz w:val="10"/>
          <w:szCs w:val="10"/>
          <w:u w:val="single"/>
        </w:rPr>
      </w:pPr>
    </w:p>
    <w:p w14:paraId="1AC7685A" w14:textId="6EFB06DB" w:rsidR="00D85CD7" w:rsidRPr="00544161" w:rsidRDefault="00D85CD7">
      <w:pPr>
        <w:rPr>
          <w:rFonts w:asciiTheme="minorHAnsi" w:hAnsiTheme="minorHAnsi" w:cstheme="minorHAnsi"/>
          <w:sz w:val="10"/>
          <w:szCs w:val="10"/>
          <w:u w:val="single"/>
        </w:rPr>
      </w:pPr>
    </w:p>
    <w:p w14:paraId="2F42E84F" w14:textId="34D6F624" w:rsidR="00D85CD7" w:rsidRPr="00544161" w:rsidRDefault="00D85CD7">
      <w:pPr>
        <w:rPr>
          <w:rFonts w:asciiTheme="minorHAnsi" w:hAnsiTheme="minorHAnsi" w:cstheme="minorHAnsi"/>
          <w:sz w:val="10"/>
          <w:szCs w:val="10"/>
          <w:u w:val="single"/>
        </w:rPr>
      </w:pPr>
    </w:p>
    <w:p w14:paraId="35AD9BF2" w14:textId="604456B9" w:rsidR="00D85CD7" w:rsidRPr="00544161" w:rsidRDefault="00D85CD7">
      <w:pPr>
        <w:rPr>
          <w:rFonts w:asciiTheme="minorHAnsi" w:hAnsiTheme="minorHAnsi" w:cstheme="minorHAnsi"/>
          <w:sz w:val="10"/>
          <w:szCs w:val="10"/>
          <w:u w:val="single"/>
        </w:rPr>
      </w:pPr>
    </w:p>
    <w:p w14:paraId="38BFDFCF" w14:textId="33F9D18E" w:rsidR="00D85CD7" w:rsidRPr="00544161" w:rsidRDefault="00D85CD7">
      <w:pPr>
        <w:rPr>
          <w:rFonts w:asciiTheme="minorHAnsi" w:hAnsiTheme="minorHAnsi" w:cstheme="minorHAnsi"/>
          <w:sz w:val="10"/>
          <w:szCs w:val="10"/>
          <w:u w:val="single"/>
        </w:rPr>
      </w:pPr>
    </w:p>
    <w:p w14:paraId="11E907C2" w14:textId="33DB68C8" w:rsidR="00D85CD7" w:rsidRPr="00544161" w:rsidRDefault="00D85CD7">
      <w:pPr>
        <w:rPr>
          <w:rFonts w:asciiTheme="minorHAnsi" w:hAnsiTheme="minorHAnsi" w:cstheme="minorHAnsi"/>
          <w:sz w:val="10"/>
          <w:szCs w:val="10"/>
          <w:u w:val="single"/>
        </w:rPr>
      </w:pPr>
    </w:p>
    <w:p w14:paraId="034F8931" w14:textId="1D4EC9AF" w:rsidR="00D85CD7" w:rsidRPr="00544161" w:rsidRDefault="00D85CD7">
      <w:pPr>
        <w:rPr>
          <w:rFonts w:asciiTheme="minorHAnsi" w:hAnsiTheme="minorHAnsi" w:cstheme="minorHAnsi"/>
          <w:sz w:val="10"/>
          <w:szCs w:val="10"/>
          <w:u w:val="single"/>
        </w:rPr>
      </w:pPr>
    </w:p>
    <w:p w14:paraId="729C10D8" w14:textId="683F303E" w:rsidR="00D85CD7" w:rsidRPr="00544161" w:rsidRDefault="00D85CD7">
      <w:pPr>
        <w:rPr>
          <w:rFonts w:asciiTheme="minorHAnsi" w:hAnsiTheme="minorHAnsi" w:cstheme="minorHAnsi"/>
          <w:sz w:val="10"/>
          <w:szCs w:val="10"/>
          <w:u w:val="single"/>
        </w:rPr>
      </w:pPr>
    </w:p>
    <w:p w14:paraId="5B2AAB70" w14:textId="0EFFDDA1" w:rsidR="00D85CD7" w:rsidRPr="00544161" w:rsidRDefault="00D85CD7">
      <w:pPr>
        <w:rPr>
          <w:rFonts w:asciiTheme="minorHAnsi" w:hAnsiTheme="minorHAnsi" w:cstheme="minorHAnsi"/>
          <w:sz w:val="10"/>
          <w:szCs w:val="10"/>
          <w:u w:val="single"/>
        </w:rPr>
      </w:pPr>
    </w:p>
    <w:p w14:paraId="08E61939" w14:textId="7E6247DD" w:rsidR="00D85CD7" w:rsidRPr="00544161" w:rsidRDefault="00D85CD7">
      <w:pPr>
        <w:rPr>
          <w:rFonts w:asciiTheme="minorHAnsi" w:hAnsiTheme="minorHAnsi" w:cstheme="minorHAnsi"/>
          <w:sz w:val="10"/>
          <w:szCs w:val="10"/>
          <w:u w:val="single"/>
        </w:rPr>
      </w:pPr>
    </w:p>
    <w:p w14:paraId="1B6BF747" w14:textId="17FA1A5D" w:rsidR="00D85CD7" w:rsidRPr="00544161" w:rsidRDefault="00D85CD7">
      <w:pPr>
        <w:rPr>
          <w:rFonts w:asciiTheme="minorHAnsi" w:hAnsiTheme="minorHAnsi" w:cstheme="minorHAnsi"/>
          <w:sz w:val="10"/>
          <w:szCs w:val="10"/>
          <w:u w:val="single"/>
        </w:rPr>
      </w:pPr>
    </w:p>
    <w:p w14:paraId="70D224C5" w14:textId="48D9823E" w:rsidR="00D85CD7" w:rsidRPr="00544161" w:rsidRDefault="00D85CD7">
      <w:pPr>
        <w:rPr>
          <w:rFonts w:asciiTheme="minorHAnsi" w:hAnsiTheme="minorHAnsi" w:cstheme="minorHAnsi"/>
          <w:sz w:val="10"/>
          <w:szCs w:val="10"/>
          <w:u w:val="single"/>
        </w:rPr>
      </w:pPr>
    </w:p>
    <w:p w14:paraId="5B6654EC" w14:textId="7FD4B7C0" w:rsidR="00D85CD7" w:rsidRPr="00544161" w:rsidRDefault="00D85CD7">
      <w:pPr>
        <w:rPr>
          <w:rFonts w:asciiTheme="minorHAnsi" w:hAnsiTheme="minorHAnsi" w:cstheme="minorHAnsi"/>
          <w:sz w:val="10"/>
          <w:szCs w:val="10"/>
          <w:u w:val="single"/>
        </w:rPr>
      </w:pPr>
    </w:p>
    <w:p w14:paraId="1E9A2EAC" w14:textId="1BFD41F2" w:rsidR="00D85CD7" w:rsidRPr="00544161" w:rsidRDefault="00D85CD7">
      <w:pPr>
        <w:rPr>
          <w:rFonts w:asciiTheme="minorHAnsi" w:hAnsiTheme="minorHAnsi" w:cstheme="minorHAnsi"/>
          <w:sz w:val="10"/>
          <w:szCs w:val="10"/>
          <w:u w:val="single"/>
        </w:rPr>
      </w:pPr>
    </w:p>
    <w:p w14:paraId="5DD7A300" w14:textId="349518C8" w:rsidR="00D85CD7" w:rsidRPr="00544161" w:rsidRDefault="00D85CD7">
      <w:pPr>
        <w:rPr>
          <w:rFonts w:asciiTheme="minorHAnsi" w:hAnsiTheme="minorHAnsi" w:cstheme="minorHAnsi"/>
          <w:sz w:val="10"/>
          <w:szCs w:val="10"/>
          <w:u w:val="single"/>
        </w:rPr>
      </w:pPr>
    </w:p>
    <w:p w14:paraId="56E48C11" w14:textId="18DE5918" w:rsidR="00D85CD7" w:rsidRPr="00544161" w:rsidRDefault="00D85CD7">
      <w:pPr>
        <w:rPr>
          <w:rFonts w:asciiTheme="minorHAnsi" w:hAnsiTheme="minorHAnsi" w:cstheme="minorHAnsi"/>
          <w:sz w:val="10"/>
          <w:szCs w:val="10"/>
          <w:u w:val="single"/>
        </w:rPr>
      </w:pPr>
    </w:p>
    <w:p w14:paraId="250CBD4B" w14:textId="74C6BC56" w:rsidR="00D85CD7" w:rsidRPr="00544161" w:rsidRDefault="00D85CD7">
      <w:pPr>
        <w:rPr>
          <w:rFonts w:asciiTheme="minorHAnsi" w:hAnsiTheme="minorHAnsi" w:cstheme="minorHAnsi"/>
          <w:sz w:val="10"/>
          <w:szCs w:val="10"/>
          <w:u w:val="single"/>
        </w:rPr>
      </w:pPr>
    </w:p>
    <w:p w14:paraId="07342422" w14:textId="42C61672" w:rsidR="00D85CD7" w:rsidRPr="00544161" w:rsidRDefault="00D85CD7">
      <w:pPr>
        <w:rPr>
          <w:rFonts w:asciiTheme="minorHAnsi" w:hAnsiTheme="minorHAnsi" w:cstheme="minorHAnsi"/>
          <w:sz w:val="10"/>
          <w:szCs w:val="10"/>
          <w:u w:val="single"/>
        </w:rPr>
      </w:pPr>
    </w:p>
    <w:p w14:paraId="4457FC77" w14:textId="7E7D2E07" w:rsidR="00581D7C" w:rsidRPr="00544161" w:rsidRDefault="00581D7C">
      <w:pPr>
        <w:rPr>
          <w:rFonts w:asciiTheme="minorHAnsi" w:hAnsiTheme="minorHAnsi" w:cstheme="minorHAnsi"/>
          <w:sz w:val="10"/>
          <w:szCs w:val="10"/>
          <w:u w:val="single"/>
        </w:rPr>
      </w:pPr>
    </w:p>
    <w:p w14:paraId="235BC9B7" w14:textId="77777777" w:rsidR="00581D7C" w:rsidRPr="00544161" w:rsidRDefault="00581D7C">
      <w:pPr>
        <w:rPr>
          <w:rFonts w:asciiTheme="minorHAnsi" w:hAnsiTheme="minorHAnsi" w:cstheme="minorHAnsi"/>
          <w:sz w:val="10"/>
          <w:szCs w:val="10"/>
          <w:u w:val="single"/>
        </w:rPr>
      </w:pPr>
    </w:p>
    <w:p w14:paraId="195A81E5" w14:textId="4035EA5C" w:rsidR="00D85CD7" w:rsidRPr="00544161" w:rsidRDefault="00D85CD7">
      <w:pPr>
        <w:rPr>
          <w:rFonts w:asciiTheme="minorHAnsi" w:hAnsiTheme="minorHAnsi" w:cstheme="minorHAnsi"/>
          <w:sz w:val="10"/>
          <w:szCs w:val="10"/>
          <w:u w:val="single"/>
        </w:rPr>
      </w:pPr>
    </w:p>
    <w:p w14:paraId="6F6C9FCA" w14:textId="77777777" w:rsidR="00D85CD7" w:rsidRPr="00544161" w:rsidRDefault="00D85CD7">
      <w:pPr>
        <w:rPr>
          <w:rFonts w:asciiTheme="minorHAnsi" w:hAnsiTheme="minorHAnsi" w:cstheme="minorHAnsi"/>
          <w:sz w:val="10"/>
          <w:szCs w:val="10"/>
          <w:u w:val="single"/>
        </w:rPr>
      </w:pPr>
    </w:p>
    <w:p w14:paraId="36AD22D0" w14:textId="6C049E9F" w:rsidR="005E62E5" w:rsidRPr="00544161" w:rsidRDefault="00B2035C" w:rsidP="00581D7C">
      <w:pPr>
        <w:spacing w:after="120"/>
        <w:rPr>
          <w:rFonts w:asciiTheme="minorHAnsi" w:hAnsiTheme="minorHAnsi" w:cstheme="minorHAnsi"/>
          <w:sz w:val="24"/>
          <w:szCs w:val="28"/>
          <w:u w:val="single"/>
        </w:rPr>
      </w:pPr>
      <w:r w:rsidRPr="00544161">
        <w:rPr>
          <w:rFonts w:asciiTheme="minorHAnsi" w:hAnsiTheme="minorHAnsi" w:cstheme="minorHAnsi"/>
          <w:sz w:val="24"/>
          <w:szCs w:val="28"/>
          <w:u w:val="single"/>
        </w:rPr>
        <w:t xml:space="preserve">Annexes : </w:t>
      </w:r>
    </w:p>
    <w:tbl>
      <w:tblPr>
        <w:tblStyle w:val="TableGrid"/>
        <w:tblW w:w="9640" w:type="dxa"/>
        <w:tblInd w:w="-5" w:type="dxa"/>
        <w:tblLook w:val="04A0" w:firstRow="1" w:lastRow="0" w:firstColumn="1" w:lastColumn="0" w:noHBand="0" w:noVBand="1"/>
      </w:tblPr>
      <w:tblGrid>
        <w:gridCol w:w="914"/>
        <w:gridCol w:w="4473"/>
        <w:gridCol w:w="4253"/>
      </w:tblGrid>
      <w:tr w:rsidR="005E62E5" w:rsidRPr="00544161" w14:paraId="72C86FDA" w14:textId="77777777">
        <w:trPr>
          <w:cantSplit/>
          <w:trHeight w:val="557"/>
        </w:trPr>
        <w:tc>
          <w:tcPr>
            <w:tcW w:w="9640" w:type="dxa"/>
            <w:gridSpan w:val="3"/>
            <w:tcBorders>
              <w:bottom w:val="single" w:sz="4" w:space="0" w:color="auto"/>
            </w:tcBorders>
          </w:tcPr>
          <w:p w14:paraId="13C7CB21" w14:textId="77777777" w:rsidR="005E62E5" w:rsidRPr="00544161" w:rsidRDefault="00B2035C">
            <w:pPr>
              <w:spacing w:before="120"/>
              <w:jc w:val="center"/>
              <w:rPr>
                <w:rFonts w:asciiTheme="minorHAnsi" w:hAnsiTheme="minorHAnsi" w:cstheme="minorHAnsi"/>
                <w:b/>
                <w:bCs/>
                <w:sz w:val="28"/>
                <w:szCs w:val="28"/>
              </w:rPr>
            </w:pPr>
            <w:r w:rsidRPr="00544161">
              <w:rPr>
                <w:rFonts w:asciiTheme="minorHAnsi" w:hAnsiTheme="minorHAnsi" w:cstheme="minorHAnsi"/>
                <w:b/>
                <w:bCs/>
                <w:sz w:val="28"/>
                <w:szCs w:val="28"/>
              </w:rPr>
              <w:lastRenderedPageBreak/>
              <w:t xml:space="preserve">Positive Impact Rating – les 30 meilleures écoles supérieures </w:t>
            </w:r>
            <w:r w:rsidRPr="00544161">
              <w:rPr>
                <w:rFonts w:asciiTheme="minorHAnsi" w:hAnsiTheme="minorHAnsi" w:cstheme="minorHAnsi"/>
                <w:sz w:val="20"/>
                <w:szCs w:val="20"/>
              </w:rPr>
              <w:t>(première édition janvier 2020)</w:t>
            </w:r>
          </w:p>
        </w:tc>
      </w:tr>
      <w:tr w:rsidR="005E62E5" w:rsidRPr="00544161" w14:paraId="66E14BE0" w14:textId="77777777">
        <w:trPr>
          <w:cantSplit/>
          <w:trHeight w:val="1134"/>
        </w:trPr>
        <w:tc>
          <w:tcPr>
            <w:tcW w:w="914" w:type="dxa"/>
            <w:tcBorders>
              <w:bottom w:val="single" w:sz="4" w:space="0" w:color="auto"/>
              <w:right w:val="nil"/>
            </w:tcBorders>
            <w:textDirection w:val="btLr"/>
          </w:tcPr>
          <w:p w14:paraId="0E77FE40" w14:textId="77777777" w:rsidR="005E62E5" w:rsidRPr="00544161" w:rsidRDefault="00B2035C" w:rsidP="004B001D">
            <w:pPr>
              <w:spacing w:line="240" w:lineRule="exact"/>
              <w:jc w:val="center"/>
              <w:rPr>
                <w:rFonts w:asciiTheme="minorHAnsi" w:hAnsiTheme="minorHAnsi" w:cstheme="minorHAnsi"/>
                <w:b/>
                <w:bCs/>
                <w:sz w:val="22"/>
              </w:rPr>
            </w:pPr>
            <w:r w:rsidRPr="00544161">
              <w:rPr>
                <w:rFonts w:asciiTheme="minorHAnsi" w:hAnsiTheme="minorHAnsi" w:cstheme="minorHAnsi"/>
                <w:b/>
                <w:bCs/>
                <w:sz w:val="22"/>
              </w:rPr>
              <w:t xml:space="preserve">Niveau 4 – </w:t>
            </w:r>
          </w:p>
          <w:p w14:paraId="2C61A110" w14:textId="61436430" w:rsidR="005E62E5" w:rsidRPr="00544161" w:rsidRDefault="00B2035C" w:rsidP="004B001D">
            <w:pPr>
              <w:spacing w:line="240" w:lineRule="exact"/>
              <w:jc w:val="center"/>
              <w:rPr>
                <w:rFonts w:asciiTheme="minorHAnsi" w:hAnsiTheme="minorHAnsi" w:cstheme="minorHAnsi"/>
                <w:b/>
                <w:bCs/>
                <w:sz w:val="24"/>
                <w:szCs w:val="24"/>
              </w:rPr>
            </w:pPr>
            <w:proofErr w:type="gramStart"/>
            <w:r w:rsidRPr="00544161">
              <w:rPr>
                <w:rFonts w:asciiTheme="minorHAnsi" w:hAnsiTheme="minorHAnsi" w:cstheme="minorHAnsi"/>
                <w:b/>
                <w:bCs/>
                <w:sz w:val="22"/>
              </w:rPr>
              <w:t>écoles</w:t>
            </w:r>
            <w:proofErr w:type="gramEnd"/>
            <w:r w:rsidRPr="00544161">
              <w:rPr>
                <w:rFonts w:asciiTheme="minorHAnsi" w:hAnsiTheme="minorHAnsi" w:cstheme="minorHAnsi"/>
                <w:b/>
                <w:bCs/>
                <w:sz w:val="22"/>
              </w:rPr>
              <w:t xml:space="preserve"> en</w:t>
            </w:r>
            <w:r w:rsidR="00581D7C" w:rsidRPr="00544161">
              <w:rPr>
                <w:rFonts w:asciiTheme="minorHAnsi" w:hAnsiTheme="minorHAnsi" w:cstheme="minorHAnsi"/>
                <w:b/>
                <w:bCs/>
                <w:sz w:val="22"/>
              </w:rPr>
              <w:t xml:space="preserve"> </w:t>
            </w:r>
            <w:r w:rsidRPr="00544161">
              <w:rPr>
                <w:rFonts w:asciiTheme="minorHAnsi" w:hAnsiTheme="minorHAnsi" w:cstheme="minorHAnsi"/>
                <w:b/>
                <w:bCs/>
                <w:sz w:val="22"/>
              </w:rPr>
              <w:t>transformation</w:t>
            </w:r>
          </w:p>
        </w:tc>
        <w:tc>
          <w:tcPr>
            <w:tcW w:w="4473" w:type="dxa"/>
            <w:tcBorders>
              <w:bottom w:val="single" w:sz="4" w:space="0" w:color="auto"/>
              <w:right w:val="nil"/>
            </w:tcBorders>
          </w:tcPr>
          <w:p w14:paraId="386CA50D" w14:textId="77777777" w:rsidR="005E62E5" w:rsidRPr="00544161" w:rsidRDefault="00B2035C" w:rsidP="00581D7C">
            <w:pPr>
              <w:pStyle w:val="ListParagraph"/>
              <w:numPr>
                <w:ilvl w:val="0"/>
                <w:numId w:val="1"/>
              </w:numPr>
              <w:spacing w:before="80" w:after="80" w:line="240" w:lineRule="auto"/>
              <w:ind w:left="309" w:hanging="284"/>
              <w:contextualSpacing w:val="0"/>
              <w:rPr>
                <w:rFonts w:cstheme="minorHAnsi"/>
                <w:sz w:val="21"/>
                <w:szCs w:val="21"/>
              </w:rPr>
            </w:pPr>
            <w:proofErr w:type="spellStart"/>
            <w:r w:rsidRPr="00544161">
              <w:rPr>
                <w:rFonts w:cstheme="minorHAnsi"/>
                <w:sz w:val="21"/>
                <w:szCs w:val="21"/>
              </w:rPr>
              <w:t>Antwerp</w:t>
            </w:r>
            <w:proofErr w:type="spellEnd"/>
            <w:r w:rsidRPr="00544161">
              <w:rPr>
                <w:rFonts w:cstheme="minorHAnsi"/>
                <w:sz w:val="21"/>
                <w:szCs w:val="21"/>
              </w:rPr>
              <w:t xml:space="preserve"> Management School, Belgique</w:t>
            </w:r>
          </w:p>
          <w:p w14:paraId="3B04AD14" w14:textId="77777777" w:rsidR="005E62E5" w:rsidRPr="00544161" w:rsidRDefault="00B2035C" w:rsidP="00581D7C">
            <w:pPr>
              <w:pStyle w:val="ListParagraph"/>
              <w:numPr>
                <w:ilvl w:val="0"/>
                <w:numId w:val="1"/>
              </w:numPr>
              <w:spacing w:before="80" w:after="80" w:line="240" w:lineRule="auto"/>
              <w:ind w:left="309" w:hanging="284"/>
              <w:contextualSpacing w:val="0"/>
              <w:rPr>
                <w:rFonts w:cstheme="minorHAnsi"/>
                <w:sz w:val="21"/>
                <w:szCs w:val="21"/>
              </w:rPr>
            </w:pPr>
            <w:r w:rsidRPr="00544161">
              <w:rPr>
                <w:rFonts w:cstheme="minorHAnsi"/>
                <w:sz w:val="21"/>
                <w:szCs w:val="21"/>
              </w:rPr>
              <w:t>EADA Business School Barcelona, Espagne</w:t>
            </w:r>
          </w:p>
          <w:p w14:paraId="3D70AB70" w14:textId="77777777" w:rsidR="005E62E5" w:rsidRPr="00544161" w:rsidRDefault="00B2035C" w:rsidP="00581D7C">
            <w:pPr>
              <w:pStyle w:val="ListParagraph"/>
              <w:numPr>
                <w:ilvl w:val="0"/>
                <w:numId w:val="1"/>
              </w:numPr>
              <w:spacing w:before="80" w:after="80" w:line="240" w:lineRule="auto"/>
              <w:ind w:left="309" w:hanging="284"/>
              <w:contextualSpacing w:val="0"/>
              <w:rPr>
                <w:rFonts w:cstheme="minorHAnsi"/>
                <w:sz w:val="21"/>
                <w:szCs w:val="21"/>
                <w:lang w:val="en-US"/>
              </w:rPr>
            </w:pPr>
            <w:r w:rsidRPr="00544161">
              <w:rPr>
                <w:rFonts w:cstheme="minorHAnsi"/>
                <w:sz w:val="21"/>
                <w:szCs w:val="21"/>
                <w:lang w:val="en-US"/>
              </w:rPr>
              <w:t xml:space="preserve">Georgia Institute of Tech. - </w:t>
            </w:r>
            <w:proofErr w:type="spellStart"/>
            <w:r w:rsidRPr="00544161">
              <w:rPr>
                <w:rFonts w:cstheme="minorHAnsi"/>
                <w:sz w:val="21"/>
                <w:szCs w:val="21"/>
                <w:lang w:val="en-US"/>
              </w:rPr>
              <w:t>Scheller</w:t>
            </w:r>
            <w:proofErr w:type="spellEnd"/>
            <w:r w:rsidRPr="00544161">
              <w:rPr>
                <w:rFonts w:cstheme="minorHAnsi"/>
                <w:sz w:val="21"/>
                <w:szCs w:val="21"/>
                <w:lang w:val="en-US"/>
              </w:rPr>
              <w:t xml:space="preserve"> College of Business, </w:t>
            </w:r>
            <w:proofErr w:type="spellStart"/>
            <w:r w:rsidRPr="00544161">
              <w:rPr>
                <w:rFonts w:cstheme="minorHAnsi"/>
                <w:sz w:val="21"/>
                <w:szCs w:val="21"/>
                <w:lang w:val="en-US"/>
              </w:rPr>
              <w:t>États-Unis</w:t>
            </w:r>
            <w:proofErr w:type="spellEnd"/>
            <w:r w:rsidRPr="00544161">
              <w:rPr>
                <w:rFonts w:cstheme="minorHAnsi"/>
                <w:sz w:val="21"/>
                <w:szCs w:val="21"/>
                <w:lang w:val="en-US"/>
              </w:rPr>
              <w:t xml:space="preserve"> </w:t>
            </w:r>
          </w:p>
          <w:p w14:paraId="266DB2FE" w14:textId="77777777" w:rsidR="005E62E5" w:rsidRPr="00544161" w:rsidRDefault="00B2035C" w:rsidP="00581D7C">
            <w:pPr>
              <w:pStyle w:val="ListParagraph"/>
              <w:numPr>
                <w:ilvl w:val="0"/>
                <w:numId w:val="1"/>
              </w:numPr>
              <w:spacing w:before="80" w:after="80" w:line="240" w:lineRule="auto"/>
              <w:ind w:left="309" w:hanging="284"/>
              <w:contextualSpacing w:val="0"/>
              <w:rPr>
                <w:rFonts w:cstheme="minorHAnsi"/>
                <w:sz w:val="21"/>
                <w:szCs w:val="21"/>
                <w:lang w:val="en-US"/>
              </w:rPr>
            </w:pPr>
            <w:r w:rsidRPr="00544161">
              <w:rPr>
                <w:rFonts w:cstheme="minorHAnsi"/>
                <w:sz w:val="21"/>
                <w:szCs w:val="21"/>
                <w:lang w:val="en-US"/>
              </w:rPr>
              <w:t xml:space="preserve">INCAE Business School Costa Rica, Costa Rica </w:t>
            </w:r>
          </w:p>
          <w:p w14:paraId="597882CE" w14:textId="77777777" w:rsidR="005E62E5" w:rsidRPr="00544161" w:rsidRDefault="00B2035C" w:rsidP="00581D7C">
            <w:pPr>
              <w:pStyle w:val="ListParagraph"/>
              <w:numPr>
                <w:ilvl w:val="0"/>
                <w:numId w:val="1"/>
              </w:numPr>
              <w:spacing w:before="80" w:after="80" w:line="240" w:lineRule="auto"/>
              <w:ind w:left="309" w:hanging="284"/>
              <w:contextualSpacing w:val="0"/>
              <w:rPr>
                <w:rFonts w:cstheme="minorHAnsi"/>
                <w:sz w:val="21"/>
                <w:szCs w:val="21"/>
                <w:lang w:val="en-US"/>
              </w:rPr>
            </w:pPr>
            <w:r w:rsidRPr="00544161">
              <w:rPr>
                <w:rFonts w:cstheme="minorHAnsi"/>
                <w:sz w:val="21"/>
                <w:szCs w:val="21"/>
                <w:lang w:val="en-US"/>
              </w:rPr>
              <w:t xml:space="preserve">Indian Institute of </w:t>
            </w:r>
            <w:proofErr w:type="spellStart"/>
            <w:r w:rsidRPr="00544161">
              <w:rPr>
                <w:rFonts w:cstheme="minorHAnsi"/>
                <w:sz w:val="21"/>
                <w:szCs w:val="21"/>
                <w:lang w:val="en-US"/>
              </w:rPr>
              <w:t>Mgmt</w:t>
            </w:r>
            <w:proofErr w:type="spellEnd"/>
            <w:r w:rsidRPr="00544161">
              <w:rPr>
                <w:rFonts w:cstheme="minorHAnsi"/>
                <w:sz w:val="21"/>
                <w:szCs w:val="21"/>
                <w:lang w:val="en-US"/>
              </w:rPr>
              <w:t xml:space="preserve"> Bangalore, </w:t>
            </w:r>
            <w:proofErr w:type="spellStart"/>
            <w:r w:rsidRPr="00544161">
              <w:rPr>
                <w:rFonts w:cstheme="minorHAnsi"/>
                <w:sz w:val="21"/>
                <w:szCs w:val="21"/>
                <w:lang w:val="en-US"/>
              </w:rPr>
              <w:t>Inde</w:t>
            </w:r>
            <w:proofErr w:type="spellEnd"/>
          </w:p>
          <w:p w14:paraId="7F3EEC14" w14:textId="77777777" w:rsidR="005E62E5" w:rsidRPr="00544161" w:rsidRDefault="00B2035C" w:rsidP="00581D7C">
            <w:pPr>
              <w:pStyle w:val="ListParagraph"/>
              <w:numPr>
                <w:ilvl w:val="0"/>
                <w:numId w:val="1"/>
              </w:numPr>
              <w:spacing w:before="80" w:after="80" w:line="240" w:lineRule="auto"/>
              <w:ind w:left="309" w:hanging="284"/>
              <w:contextualSpacing w:val="0"/>
              <w:rPr>
                <w:rFonts w:cstheme="minorHAnsi"/>
                <w:sz w:val="21"/>
                <w:szCs w:val="21"/>
                <w:lang w:val="en-US"/>
              </w:rPr>
            </w:pPr>
            <w:r w:rsidRPr="00544161">
              <w:rPr>
                <w:rFonts w:cstheme="minorHAnsi"/>
                <w:sz w:val="21"/>
                <w:szCs w:val="21"/>
                <w:lang w:val="en-US"/>
              </w:rPr>
              <w:t>Maastricht Univ. - School of Business</w:t>
            </w:r>
          </w:p>
        </w:tc>
        <w:tc>
          <w:tcPr>
            <w:tcW w:w="4253" w:type="dxa"/>
            <w:tcBorders>
              <w:left w:val="nil"/>
              <w:bottom w:val="single" w:sz="4" w:space="0" w:color="auto"/>
            </w:tcBorders>
          </w:tcPr>
          <w:p w14:paraId="2BF3B3E7" w14:textId="77777777" w:rsidR="005E62E5" w:rsidRPr="00544161" w:rsidRDefault="00B2035C">
            <w:pPr>
              <w:pStyle w:val="ListParagraph"/>
              <w:spacing w:before="120" w:after="60"/>
              <w:ind w:left="309"/>
              <w:contextualSpacing w:val="0"/>
              <w:rPr>
                <w:rFonts w:cstheme="minorHAnsi"/>
                <w:sz w:val="21"/>
                <w:szCs w:val="21"/>
              </w:rPr>
            </w:pPr>
            <w:proofErr w:type="spellStart"/>
            <w:r w:rsidRPr="00544161">
              <w:rPr>
                <w:rFonts w:cstheme="minorHAnsi"/>
                <w:sz w:val="21"/>
                <w:szCs w:val="21"/>
              </w:rPr>
              <w:t>Economics</w:t>
            </w:r>
            <w:proofErr w:type="spellEnd"/>
            <w:r w:rsidRPr="00544161">
              <w:rPr>
                <w:rFonts w:cstheme="minorHAnsi"/>
                <w:sz w:val="21"/>
                <w:szCs w:val="21"/>
              </w:rPr>
              <w:t>, Pays-Bas</w:t>
            </w:r>
          </w:p>
          <w:p w14:paraId="3F49697A"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Univ. of California at Berkeley - Haas School of Business, </w:t>
            </w:r>
            <w:proofErr w:type="spellStart"/>
            <w:r w:rsidRPr="00544161">
              <w:rPr>
                <w:rFonts w:cstheme="minorHAnsi"/>
                <w:sz w:val="21"/>
                <w:szCs w:val="21"/>
                <w:lang w:val="en-US"/>
              </w:rPr>
              <w:t>États-Unis</w:t>
            </w:r>
            <w:proofErr w:type="spellEnd"/>
          </w:p>
          <w:p w14:paraId="7E604EE0"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University of Guelph - Lang School of Business, Canada</w:t>
            </w:r>
          </w:p>
          <w:p w14:paraId="4FBED43F"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University of Vermont - Grossman School of Business, </w:t>
            </w:r>
            <w:proofErr w:type="spellStart"/>
            <w:r w:rsidRPr="00544161">
              <w:rPr>
                <w:rFonts w:cstheme="minorHAnsi"/>
                <w:sz w:val="21"/>
                <w:szCs w:val="21"/>
                <w:lang w:val="en-US"/>
              </w:rPr>
              <w:t>États-Unis</w:t>
            </w:r>
            <w:proofErr w:type="spellEnd"/>
          </w:p>
        </w:tc>
      </w:tr>
      <w:tr w:rsidR="005E62E5" w:rsidRPr="00544161" w14:paraId="761CBEC5" w14:textId="77777777">
        <w:trPr>
          <w:cantSplit/>
          <w:trHeight w:val="4286"/>
        </w:trPr>
        <w:tc>
          <w:tcPr>
            <w:tcW w:w="914" w:type="dxa"/>
            <w:tcBorders>
              <w:right w:val="nil"/>
            </w:tcBorders>
            <w:textDirection w:val="btLr"/>
          </w:tcPr>
          <w:p w14:paraId="6C28CC27" w14:textId="77777777" w:rsidR="005E62E5" w:rsidRPr="00544161" w:rsidRDefault="00B2035C" w:rsidP="004B001D">
            <w:pPr>
              <w:spacing w:line="240" w:lineRule="exact"/>
              <w:jc w:val="center"/>
              <w:rPr>
                <w:rFonts w:asciiTheme="minorHAnsi" w:hAnsiTheme="minorHAnsi" w:cstheme="minorHAnsi"/>
                <w:b/>
                <w:bCs/>
                <w:sz w:val="24"/>
                <w:szCs w:val="24"/>
              </w:rPr>
            </w:pPr>
            <w:r w:rsidRPr="00544161">
              <w:rPr>
                <w:rFonts w:asciiTheme="minorHAnsi" w:hAnsiTheme="minorHAnsi" w:cstheme="minorHAnsi"/>
                <w:b/>
                <w:bCs/>
                <w:sz w:val="24"/>
                <w:szCs w:val="24"/>
              </w:rPr>
              <w:t xml:space="preserve">Niveau 3 – </w:t>
            </w:r>
          </w:p>
          <w:p w14:paraId="742CF711" w14:textId="77777777" w:rsidR="005E62E5" w:rsidRPr="00544161" w:rsidRDefault="00B2035C" w:rsidP="004B001D">
            <w:pPr>
              <w:spacing w:line="240" w:lineRule="exact"/>
              <w:jc w:val="center"/>
              <w:rPr>
                <w:rFonts w:asciiTheme="minorHAnsi" w:hAnsiTheme="minorHAnsi" w:cstheme="minorHAnsi"/>
                <w:b/>
                <w:bCs/>
                <w:sz w:val="24"/>
                <w:szCs w:val="24"/>
              </w:rPr>
            </w:pPr>
            <w:proofErr w:type="gramStart"/>
            <w:r w:rsidRPr="00544161">
              <w:rPr>
                <w:rFonts w:asciiTheme="minorHAnsi" w:hAnsiTheme="minorHAnsi" w:cstheme="minorHAnsi"/>
                <w:b/>
                <w:bCs/>
                <w:sz w:val="24"/>
                <w:szCs w:val="24"/>
              </w:rPr>
              <w:t>écoles</w:t>
            </w:r>
            <w:proofErr w:type="gramEnd"/>
            <w:r w:rsidRPr="00544161">
              <w:rPr>
                <w:rFonts w:asciiTheme="minorHAnsi" w:hAnsiTheme="minorHAnsi" w:cstheme="minorHAnsi"/>
                <w:b/>
                <w:bCs/>
                <w:sz w:val="24"/>
                <w:szCs w:val="24"/>
              </w:rPr>
              <w:t xml:space="preserve"> en progression</w:t>
            </w:r>
          </w:p>
        </w:tc>
        <w:tc>
          <w:tcPr>
            <w:tcW w:w="4473" w:type="dxa"/>
            <w:tcBorders>
              <w:right w:val="nil"/>
            </w:tcBorders>
          </w:tcPr>
          <w:p w14:paraId="7C0F2D99"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Amsterdam Business School, Pays-Bas</w:t>
            </w:r>
          </w:p>
          <w:p w14:paraId="6D555279"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Audencia Business School, France</w:t>
            </w:r>
          </w:p>
          <w:p w14:paraId="7D49CA97"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EDHEC Business School, France</w:t>
            </w:r>
          </w:p>
          <w:p w14:paraId="12EDEC95"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proofErr w:type="spellStart"/>
            <w:r w:rsidRPr="00544161">
              <w:rPr>
                <w:rFonts w:cstheme="minorHAnsi"/>
                <w:sz w:val="21"/>
                <w:szCs w:val="21"/>
              </w:rPr>
              <w:t>Esade</w:t>
            </w:r>
            <w:proofErr w:type="spellEnd"/>
            <w:r w:rsidRPr="00544161">
              <w:rPr>
                <w:rFonts w:cstheme="minorHAnsi"/>
                <w:sz w:val="21"/>
                <w:szCs w:val="21"/>
              </w:rPr>
              <w:t xml:space="preserve"> Business School, Espagne</w:t>
            </w:r>
          </w:p>
          <w:p w14:paraId="4C99CEFE"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ESCP Europe Business School, Allemagne</w:t>
            </w:r>
          </w:p>
          <w:p w14:paraId="43A6CF53"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Fordham University - Gabelli School of Business, </w:t>
            </w:r>
            <w:proofErr w:type="spellStart"/>
            <w:r w:rsidRPr="00544161">
              <w:rPr>
                <w:rFonts w:cstheme="minorHAnsi"/>
                <w:sz w:val="21"/>
                <w:szCs w:val="21"/>
                <w:lang w:val="en-US"/>
              </w:rPr>
              <w:t>États-Unis</w:t>
            </w:r>
            <w:proofErr w:type="spellEnd"/>
          </w:p>
          <w:p w14:paraId="716C6FF3"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Grenoble École de Management, France</w:t>
            </w:r>
          </w:p>
          <w:p w14:paraId="680FC472"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proofErr w:type="spellStart"/>
            <w:r w:rsidRPr="00544161">
              <w:rPr>
                <w:rFonts w:cstheme="minorHAnsi"/>
                <w:sz w:val="21"/>
                <w:szCs w:val="21"/>
              </w:rPr>
              <w:t>Hanken</w:t>
            </w:r>
            <w:proofErr w:type="spellEnd"/>
            <w:r w:rsidRPr="00544161">
              <w:rPr>
                <w:rFonts w:cstheme="minorHAnsi"/>
                <w:sz w:val="21"/>
                <w:szCs w:val="21"/>
              </w:rPr>
              <w:t xml:space="preserve"> Business School, Finlande</w:t>
            </w:r>
          </w:p>
          <w:p w14:paraId="3FF03D54"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Hong Kong Univ. of Science &amp; Technology - HKUST Business School, Chine</w:t>
            </w:r>
          </w:p>
          <w:p w14:paraId="7E6D9947"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IESEG School of Management, France</w:t>
            </w:r>
          </w:p>
          <w:p w14:paraId="4D9E29DC"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KEDGE Business School, France</w:t>
            </w:r>
          </w:p>
          <w:p w14:paraId="14D7E20C" w14:textId="3AB585B2"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 xml:space="preserve">Kozminski </w:t>
            </w:r>
            <w:proofErr w:type="spellStart"/>
            <w:r w:rsidRPr="00544161">
              <w:rPr>
                <w:rFonts w:cstheme="minorHAnsi"/>
                <w:sz w:val="21"/>
                <w:szCs w:val="21"/>
              </w:rPr>
              <w:t>University</w:t>
            </w:r>
            <w:proofErr w:type="spellEnd"/>
            <w:r w:rsidRPr="00544161">
              <w:rPr>
                <w:rFonts w:cstheme="minorHAnsi"/>
                <w:sz w:val="21"/>
                <w:szCs w:val="21"/>
              </w:rPr>
              <w:t>, Pologne</w:t>
            </w:r>
          </w:p>
        </w:tc>
        <w:tc>
          <w:tcPr>
            <w:tcW w:w="4253" w:type="dxa"/>
            <w:tcBorders>
              <w:left w:val="nil"/>
            </w:tcBorders>
          </w:tcPr>
          <w:p w14:paraId="426C400E"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rPr>
            </w:pPr>
            <w:r w:rsidRPr="00544161">
              <w:rPr>
                <w:rFonts w:cstheme="minorHAnsi"/>
                <w:sz w:val="21"/>
                <w:szCs w:val="21"/>
              </w:rPr>
              <w:t xml:space="preserve">London Business School, Royaume-Uni </w:t>
            </w:r>
          </w:p>
          <w:p w14:paraId="3907B183" w14:textId="25792BCF"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Nova School of Business and Eco., Portugal</w:t>
            </w:r>
          </w:p>
          <w:p w14:paraId="7731CF8B"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University of Gothenburg School of Business, </w:t>
            </w:r>
            <w:proofErr w:type="spellStart"/>
            <w:r w:rsidRPr="00544161">
              <w:rPr>
                <w:rFonts w:cstheme="minorHAnsi"/>
                <w:sz w:val="21"/>
                <w:szCs w:val="21"/>
                <w:lang w:val="en-US"/>
              </w:rPr>
              <w:t>Suède</w:t>
            </w:r>
            <w:proofErr w:type="spellEnd"/>
          </w:p>
          <w:p w14:paraId="4CF40959"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University of Michigan - Ross School of Business, </w:t>
            </w:r>
            <w:proofErr w:type="spellStart"/>
            <w:r w:rsidRPr="00544161">
              <w:rPr>
                <w:rFonts w:cstheme="minorHAnsi"/>
                <w:sz w:val="21"/>
                <w:szCs w:val="21"/>
                <w:lang w:val="en-US"/>
              </w:rPr>
              <w:t>États-Unis</w:t>
            </w:r>
            <w:proofErr w:type="spellEnd"/>
          </w:p>
          <w:p w14:paraId="49176CEE"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Univ. of Texas at Austin - McCombs School of Business, </w:t>
            </w:r>
            <w:proofErr w:type="spellStart"/>
            <w:r w:rsidRPr="00544161">
              <w:rPr>
                <w:rFonts w:cstheme="minorHAnsi"/>
                <w:sz w:val="21"/>
                <w:szCs w:val="21"/>
                <w:lang w:val="en-US"/>
              </w:rPr>
              <w:t>États-Unis</w:t>
            </w:r>
            <w:proofErr w:type="spellEnd"/>
          </w:p>
          <w:p w14:paraId="22BAB8E2"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University of Toronto - </w:t>
            </w:r>
            <w:proofErr w:type="spellStart"/>
            <w:r w:rsidRPr="00544161">
              <w:rPr>
                <w:rFonts w:cstheme="minorHAnsi"/>
                <w:sz w:val="21"/>
                <w:szCs w:val="21"/>
                <w:lang w:val="en-US"/>
              </w:rPr>
              <w:t>Rotman</w:t>
            </w:r>
            <w:proofErr w:type="spellEnd"/>
            <w:r w:rsidRPr="00544161">
              <w:rPr>
                <w:rFonts w:cstheme="minorHAnsi"/>
                <w:sz w:val="21"/>
                <w:szCs w:val="21"/>
                <w:lang w:val="en-US"/>
              </w:rPr>
              <w:t xml:space="preserve"> School of Mgmt., Canada</w:t>
            </w:r>
          </w:p>
          <w:p w14:paraId="70538872"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Western University - Ivey Business School, Canada</w:t>
            </w:r>
          </w:p>
          <w:p w14:paraId="4FA66F28" w14:textId="2B78848B"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 xml:space="preserve">XLRI Xavier School of Management, </w:t>
            </w:r>
            <w:proofErr w:type="spellStart"/>
            <w:r w:rsidRPr="00544161">
              <w:rPr>
                <w:rFonts w:cstheme="minorHAnsi"/>
                <w:sz w:val="21"/>
                <w:szCs w:val="21"/>
                <w:lang w:val="en-US"/>
              </w:rPr>
              <w:t>Inde</w:t>
            </w:r>
            <w:proofErr w:type="spellEnd"/>
          </w:p>
          <w:p w14:paraId="3F03212E" w14:textId="77777777" w:rsidR="005E62E5" w:rsidRPr="00544161" w:rsidRDefault="00B2035C">
            <w:pPr>
              <w:pStyle w:val="ListParagraph"/>
              <w:numPr>
                <w:ilvl w:val="0"/>
                <w:numId w:val="1"/>
              </w:numPr>
              <w:spacing w:before="60" w:after="60" w:line="240" w:lineRule="auto"/>
              <w:ind w:left="309" w:hanging="284"/>
              <w:contextualSpacing w:val="0"/>
              <w:rPr>
                <w:rFonts w:cstheme="minorHAnsi"/>
                <w:sz w:val="21"/>
                <w:szCs w:val="21"/>
                <w:lang w:val="en-US"/>
              </w:rPr>
            </w:pPr>
            <w:r w:rsidRPr="00544161">
              <w:rPr>
                <w:rFonts w:cstheme="minorHAnsi"/>
                <w:sz w:val="21"/>
                <w:szCs w:val="21"/>
                <w:lang w:val="en-US"/>
              </w:rPr>
              <w:t>York University - Schulich School of Business, Canada</w:t>
            </w:r>
          </w:p>
        </w:tc>
      </w:tr>
    </w:tbl>
    <w:p w14:paraId="03209383" w14:textId="734579F7" w:rsidR="005E62E5" w:rsidRPr="00544161" w:rsidRDefault="00B2035C">
      <w:pPr>
        <w:spacing w:before="120"/>
        <w:jc w:val="center"/>
        <w:rPr>
          <w:rFonts w:asciiTheme="minorHAnsi" w:hAnsiTheme="minorHAnsi" w:cstheme="minorHAnsi"/>
          <w:sz w:val="18"/>
          <w:szCs w:val="18"/>
        </w:rPr>
      </w:pPr>
      <w:r w:rsidRPr="00544161">
        <w:rPr>
          <w:rFonts w:asciiTheme="minorHAnsi" w:hAnsiTheme="minorHAnsi" w:cstheme="minorHAnsi"/>
          <w:sz w:val="18"/>
          <w:szCs w:val="18"/>
        </w:rPr>
        <w:t>Tableau 1 : Vue d’ensemble des 30 meilleures écoles supérieures de l’évaluation Positive Impact Rating, édition 2020</w:t>
      </w:r>
    </w:p>
    <w:p w14:paraId="4B64F21D" w14:textId="77777777" w:rsidR="00581D7C" w:rsidRPr="00544161" w:rsidRDefault="00581D7C">
      <w:pPr>
        <w:spacing w:before="120"/>
        <w:jc w:val="center"/>
        <w:rPr>
          <w:rFonts w:asciiTheme="minorHAnsi" w:hAnsiTheme="minorHAnsi" w:cstheme="minorHAnsi"/>
          <w:sz w:val="18"/>
          <w:szCs w:val="18"/>
        </w:rPr>
      </w:pPr>
    </w:p>
    <w:p w14:paraId="264EB200" w14:textId="51E4D46B" w:rsidR="00581D7C" w:rsidRPr="00544161" w:rsidRDefault="00581D7C">
      <w:pPr>
        <w:spacing w:before="120"/>
        <w:jc w:val="center"/>
        <w:rPr>
          <w:rFonts w:asciiTheme="minorHAnsi" w:hAnsiTheme="minorHAnsi" w:cstheme="minorHAnsi"/>
          <w:sz w:val="18"/>
          <w:szCs w:val="18"/>
        </w:rPr>
      </w:pPr>
      <w:r w:rsidRPr="00544161">
        <w:rPr>
          <w:rFonts w:asciiTheme="minorHAnsi" w:hAnsiTheme="minorHAnsi" w:cstheme="minorHAnsi"/>
          <w:noProof/>
          <w:sz w:val="18"/>
          <w:szCs w:val="18"/>
        </w:rPr>
        <w:drawing>
          <wp:inline distT="0" distB="0" distL="0" distR="0" wp14:anchorId="4CD8B91D" wp14:editId="3961AD63">
            <wp:extent cx="5895975" cy="2943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ensional chart FINAL.jpg"/>
                    <pic:cNvPicPr/>
                  </pic:nvPicPr>
                  <pic:blipFill>
                    <a:blip r:embed="rId11">
                      <a:extLst>
                        <a:ext uri="{28A0092B-C50C-407E-A947-70E740481C1C}">
                          <a14:useLocalDpi xmlns:a14="http://schemas.microsoft.com/office/drawing/2010/main" val="0"/>
                        </a:ext>
                      </a:extLst>
                    </a:blip>
                    <a:stretch>
                      <a:fillRect/>
                    </a:stretch>
                  </pic:blipFill>
                  <pic:spPr>
                    <a:xfrm>
                      <a:off x="0" y="0"/>
                      <a:ext cx="5895975" cy="2943225"/>
                    </a:xfrm>
                    <a:prstGeom prst="rect">
                      <a:avLst/>
                    </a:prstGeom>
                  </pic:spPr>
                </pic:pic>
              </a:graphicData>
            </a:graphic>
          </wp:inline>
        </w:drawing>
      </w:r>
    </w:p>
    <w:p w14:paraId="16C9AAC6" w14:textId="77777777" w:rsidR="00581D7C" w:rsidRPr="00544161" w:rsidRDefault="00581D7C" w:rsidP="00581D7C">
      <w:pPr>
        <w:spacing w:before="120"/>
        <w:jc w:val="center"/>
        <w:rPr>
          <w:rFonts w:asciiTheme="minorHAnsi" w:hAnsiTheme="minorHAnsi" w:cstheme="minorHAnsi"/>
          <w:sz w:val="18"/>
          <w:szCs w:val="18"/>
        </w:rPr>
      </w:pPr>
      <w:r w:rsidRPr="00544161">
        <w:rPr>
          <w:rFonts w:asciiTheme="minorHAnsi" w:hAnsiTheme="minorHAnsi" w:cstheme="minorHAnsi"/>
          <w:sz w:val="18"/>
          <w:szCs w:val="18"/>
        </w:rPr>
        <w:t xml:space="preserve">Graph </w:t>
      </w:r>
      <w:proofErr w:type="gramStart"/>
      <w:r w:rsidRPr="00544161">
        <w:rPr>
          <w:rFonts w:asciiTheme="minorHAnsi" w:hAnsiTheme="minorHAnsi" w:cstheme="minorHAnsi"/>
          <w:sz w:val="18"/>
          <w:szCs w:val="18"/>
        </w:rPr>
        <w:t>1:</w:t>
      </w:r>
      <w:proofErr w:type="gramEnd"/>
      <w:r w:rsidRPr="00544161">
        <w:rPr>
          <w:rFonts w:asciiTheme="minorHAnsi" w:hAnsiTheme="minorHAnsi" w:cstheme="minorHAnsi"/>
          <w:sz w:val="18"/>
          <w:szCs w:val="18"/>
        </w:rPr>
        <w:t xml:space="preserve"> </w:t>
      </w:r>
      <w:proofErr w:type="spellStart"/>
      <w:r w:rsidRPr="00544161">
        <w:rPr>
          <w:rFonts w:asciiTheme="minorHAnsi" w:hAnsiTheme="minorHAnsi" w:cstheme="minorHAnsi"/>
          <w:sz w:val="18"/>
          <w:szCs w:val="18"/>
        </w:rPr>
        <w:t>Comparison</w:t>
      </w:r>
      <w:proofErr w:type="spellEnd"/>
      <w:r w:rsidRPr="00544161">
        <w:rPr>
          <w:rFonts w:asciiTheme="minorHAnsi" w:hAnsiTheme="minorHAnsi" w:cstheme="minorHAnsi"/>
          <w:sz w:val="18"/>
          <w:szCs w:val="18"/>
        </w:rPr>
        <w:t xml:space="preserve"> of performance by dimension of </w:t>
      </w:r>
      <w:proofErr w:type="spellStart"/>
      <w:r w:rsidRPr="00544161">
        <w:rPr>
          <w:rFonts w:asciiTheme="minorHAnsi" w:hAnsiTheme="minorHAnsi" w:cstheme="minorHAnsi"/>
          <w:sz w:val="18"/>
          <w:szCs w:val="18"/>
        </w:rPr>
        <w:t>nine</w:t>
      </w:r>
      <w:proofErr w:type="spellEnd"/>
      <w:r w:rsidRPr="00544161">
        <w:rPr>
          <w:rFonts w:asciiTheme="minorHAnsi" w:hAnsiTheme="minorHAnsi" w:cstheme="minorHAnsi"/>
          <w:sz w:val="18"/>
          <w:szCs w:val="18"/>
        </w:rPr>
        <w:t xml:space="preserve"> </w:t>
      </w:r>
      <w:proofErr w:type="spellStart"/>
      <w:r w:rsidRPr="00544161">
        <w:rPr>
          <w:rFonts w:asciiTheme="minorHAnsi" w:hAnsiTheme="minorHAnsi" w:cstheme="minorHAnsi"/>
          <w:sz w:val="18"/>
          <w:szCs w:val="18"/>
        </w:rPr>
        <w:t>level</w:t>
      </w:r>
      <w:proofErr w:type="spellEnd"/>
      <w:r w:rsidRPr="00544161">
        <w:rPr>
          <w:rFonts w:asciiTheme="minorHAnsi" w:hAnsiTheme="minorHAnsi" w:cstheme="minorHAnsi"/>
          <w:sz w:val="18"/>
          <w:szCs w:val="18"/>
        </w:rPr>
        <w:t xml:space="preserve"> 4 </w:t>
      </w:r>
      <w:proofErr w:type="spellStart"/>
      <w:r w:rsidRPr="00544161">
        <w:rPr>
          <w:rFonts w:asciiTheme="minorHAnsi" w:hAnsiTheme="minorHAnsi" w:cstheme="minorHAnsi"/>
          <w:sz w:val="18"/>
          <w:szCs w:val="18"/>
        </w:rPr>
        <w:t>transforming</w:t>
      </w:r>
      <w:proofErr w:type="spellEnd"/>
      <w:r w:rsidRPr="00544161">
        <w:rPr>
          <w:rFonts w:asciiTheme="minorHAnsi" w:hAnsiTheme="minorHAnsi" w:cstheme="minorHAnsi"/>
          <w:sz w:val="18"/>
          <w:szCs w:val="18"/>
        </w:rPr>
        <w:t xml:space="preserve"> </w:t>
      </w:r>
      <w:proofErr w:type="spellStart"/>
      <w:r w:rsidRPr="00544161">
        <w:rPr>
          <w:rFonts w:asciiTheme="minorHAnsi" w:hAnsiTheme="minorHAnsi" w:cstheme="minorHAnsi"/>
          <w:sz w:val="18"/>
          <w:szCs w:val="18"/>
        </w:rPr>
        <w:t>schools</w:t>
      </w:r>
      <w:proofErr w:type="spellEnd"/>
      <w:r w:rsidRPr="00544161">
        <w:rPr>
          <w:rFonts w:asciiTheme="minorHAnsi" w:hAnsiTheme="minorHAnsi" w:cstheme="minorHAnsi"/>
          <w:sz w:val="18"/>
          <w:szCs w:val="18"/>
        </w:rPr>
        <w:t xml:space="preserve"> as </w:t>
      </w:r>
      <w:proofErr w:type="spellStart"/>
      <w:r w:rsidRPr="00544161">
        <w:rPr>
          <w:rFonts w:asciiTheme="minorHAnsi" w:hAnsiTheme="minorHAnsi" w:cstheme="minorHAnsi"/>
          <w:sz w:val="18"/>
          <w:szCs w:val="18"/>
        </w:rPr>
        <w:t>compared</w:t>
      </w:r>
      <w:proofErr w:type="spellEnd"/>
      <w:r w:rsidRPr="00544161">
        <w:rPr>
          <w:rFonts w:asciiTheme="minorHAnsi" w:hAnsiTheme="minorHAnsi" w:cstheme="minorHAnsi"/>
          <w:sz w:val="18"/>
          <w:szCs w:val="18"/>
        </w:rPr>
        <w:t xml:space="preserve"> to all </w:t>
      </w:r>
      <w:proofErr w:type="spellStart"/>
      <w:r w:rsidRPr="00544161">
        <w:rPr>
          <w:rFonts w:asciiTheme="minorHAnsi" w:hAnsiTheme="minorHAnsi" w:cstheme="minorHAnsi"/>
          <w:sz w:val="18"/>
          <w:szCs w:val="18"/>
        </w:rPr>
        <w:t>schools</w:t>
      </w:r>
      <w:proofErr w:type="spellEnd"/>
    </w:p>
    <w:p w14:paraId="51A9332A" w14:textId="77777777" w:rsidR="00581D7C" w:rsidRPr="00544161" w:rsidRDefault="00581D7C" w:rsidP="00581D7C">
      <w:pPr>
        <w:spacing w:before="120"/>
        <w:jc w:val="center"/>
        <w:rPr>
          <w:rFonts w:asciiTheme="minorHAnsi" w:hAnsiTheme="minorHAnsi" w:cstheme="minorHAnsi"/>
          <w:sz w:val="18"/>
          <w:szCs w:val="18"/>
        </w:rPr>
      </w:pPr>
    </w:p>
    <w:p w14:paraId="631CA5CD" w14:textId="77777777" w:rsidR="00581D7C" w:rsidRPr="00544161" w:rsidRDefault="00581D7C" w:rsidP="00581D7C">
      <w:pPr>
        <w:spacing w:before="120"/>
        <w:jc w:val="center"/>
        <w:rPr>
          <w:rFonts w:asciiTheme="minorHAnsi" w:hAnsiTheme="minorHAnsi" w:cstheme="minorHAnsi"/>
          <w:sz w:val="18"/>
          <w:szCs w:val="18"/>
        </w:rPr>
      </w:pPr>
    </w:p>
    <w:p w14:paraId="5D11979E" w14:textId="77777777" w:rsidR="00581D7C" w:rsidRPr="00544161" w:rsidRDefault="00581D7C" w:rsidP="00581D7C">
      <w:pPr>
        <w:spacing w:before="120"/>
        <w:jc w:val="center"/>
        <w:rPr>
          <w:rFonts w:asciiTheme="minorHAnsi" w:hAnsiTheme="minorHAnsi" w:cstheme="minorHAnsi"/>
          <w:sz w:val="18"/>
          <w:szCs w:val="18"/>
        </w:rPr>
      </w:pPr>
      <w:r w:rsidRPr="00544161">
        <w:rPr>
          <w:rFonts w:asciiTheme="minorHAnsi" w:hAnsiTheme="minorHAnsi" w:cstheme="minorHAnsi"/>
          <w:noProof/>
          <w:sz w:val="18"/>
          <w:szCs w:val="18"/>
        </w:rPr>
        <w:lastRenderedPageBreak/>
        <w:drawing>
          <wp:inline distT="0" distB="0" distL="0" distR="0" wp14:anchorId="1BC0CF0F" wp14:editId="4ED4331D">
            <wp:extent cx="6106795" cy="359918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schools FINAL.JPG"/>
                    <pic:cNvPicPr/>
                  </pic:nvPicPr>
                  <pic:blipFill>
                    <a:blip r:embed="rId12">
                      <a:extLst>
                        <a:ext uri="{28A0092B-C50C-407E-A947-70E740481C1C}">
                          <a14:useLocalDpi xmlns:a14="http://schemas.microsoft.com/office/drawing/2010/main" val="0"/>
                        </a:ext>
                      </a:extLst>
                    </a:blip>
                    <a:stretch>
                      <a:fillRect/>
                    </a:stretch>
                  </pic:blipFill>
                  <pic:spPr>
                    <a:xfrm>
                      <a:off x="0" y="0"/>
                      <a:ext cx="6106795" cy="3599180"/>
                    </a:xfrm>
                    <a:prstGeom prst="rect">
                      <a:avLst/>
                    </a:prstGeom>
                  </pic:spPr>
                </pic:pic>
              </a:graphicData>
            </a:graphic>
          </wp:inline>
        </w:drawing>
      </w:r>
    </w:p>
    <w:p w14:paraId="06F262B1" w14:textId="77777777" w:rsidR="00581D7C" w:rsidRPr="00544161" w:rsidRDefault="00581D7C" w:rsidP="00581D7C">
      <w:pPr>
        <w:spacing w:before="120"/>
        <w:jc w:val="center"/>
        <w:rPr>
          <w:rFonts w:asciiTheme="minorHAnsi" w:hAnsiTheme="minorHAnsi" w:cstheme="minorHAnsi"/>
          <w:sz w:val="18"/>
          <w:szCs w:val="18"/>
        </w:rPr>
      </w:pPr>
      <w:r w:rsidRPr="00544161">
        <w:rPr>
          <w:rFonts w:asciiTheme="minorHAnsi" w:hAnsiTheme="minorHAnsi" w:cstheme="minorHAnsi"/>
          <w:sz w:val="18"/>
          <w:szCs w:val="18"/>
        </w:rPr>
        <w:t xml:space="preserve">Graph </w:t>
      </w:r>
      <w:proofErr w:type="gramStart"/>
      <w:r w:rsidRPr="00544161">
        <w:rPr>
          <w:rFonts w:asciiTheme="minorHAnsi" w:hAnsiTheme="minorHAnsi" w:cstheme="minorHAnsi"/>
          <w:sz w:val="18"/>
          <w:szCs w:val="18"/>
        </w:rPr>
        <w:t>2:</w:t>
      </w:r>
      <w:proofErr w:type="gramEnd"/>
      <w:r w:rsidRPr="00544161">
        <w:rPr>
          <w:rFonts w:asciiTheme="minorHAnsi" w:hAnsiTheme="minorHAnsi" w:cstheme="minorHAnsi"/>
          <w:sz w:val="18"/>
          <w:szCs w:val="18"/>
        </w:rPr>
        <w:t xml:space="preserve"> Top 30 PIR </w:t>
      </w:r>
      <w:proofErr w:type="spellStart"/>
      <w:r w:rsidRPr="00544161">
        <w:rPr>
          <w:rFonts w:asciiTheme="minorHAnsi" w:hAnsiTheme="minorHAnsi" w:cstheme="minorHAnsi"/>
          <w:sz w:val="18"/>
          <w:szCs w:val="18"/>
        </w:rPr>
        <w:t>schools</w:t>
      </w:r>
      <w:proofErr w:type="spellEnd"/>
      <w:r w:rsidRPr="00544161">
        <w:rPr>
          <w:rFonts w:asciiTheme="minorHAnsi" w:hAnsiTheme="minorHAnsi" w:cstheme="minorHAnsi"/>
          <w:sz w:val="18"/>
          <w:szCs w:val="18"/>
        </w:rPr>
        <w:t xml:space="preserve"> </w:t>
      </w:r>
      <w:proofErr w:type="spellStart"/>
      <w:r w:rsidRPr="00544161">
        <w:rPr>
          <w:rFonts w:asciiTheme="minorHAnsi" w:hAnsiTheme="minorHAnsi" w:cstheme="minorHAnsi"/>
          <w:sz w:val="18"/>
          <w:szCs w:val="18"/>
        </w:rPr>
        <w:t>compared</w:t>
      </w:r>
      <w:proofErr w:type="spellEnd"/>
      <w:r w:rsidRPr="00544161">
        <w:rPr>
          <w:rFonts w:asciiTheme="minorHAnsi" w:hAnsiTheme="minorHAnsi" w:cstheme="minorHAnsi"/>
          <w:sz w:val="18"/>
          <w:szCs w:val="18"/>
        </w:rPr>
        <w:t xml:space="preserve"> </w:t>
      </w:r>
      <w:proofErr w:type="spellStart"/>
      <w:r w:rsidRPr="00544161">
        <w:rPr>
          <w:rFonts w:asciiTheme="minorHAnsi" w:hAnsiTheme="minorHAnsi" w:cstheme="minorHAnsi"/>
          <w:sz w:val="18"/>
          <w:szCs w:val="18"/>
        </w:rPr>
        <w:t>with</w:t>
      </w:r>
      <w:proofErr w:type="spellEnd"/>
      <w:r w:rsidRPr="00544161">
        <w:rPr>
          <w:rFonts w:asciiTheme="minorHAnsi" w:hAnsiTheme="minorHAnsi" w:cstheme="minorHAnsi"/>
          <w:sz w:val="18"/>
          <w:szCs w:val="18"/>
        </w:rPr>
        <w:t xml:space="preserve"> all </w:t>
      </w:r>
      <w:proofErr w:type="spellStart"/>
      <w:r w:rsidRPr="00544161">
        <w:rPr>
          <w:rFonts w:asciiTheme="minorHAnsi" w:hAnsiTheme="minorHAnsi" w:cstheme="minorHAnsi"/>
          <w:sz w:val="18"/>
          <w:szCs w:val="18"/>
        </w:rPr>
        <w:t>participating</w:t>
      </w:r>
      <w:proofErr w:type="spellEnd"/>
      <w:r w:rsidRPr="00544161">
        <w:rPr>
          <w:rFonts w:asciiTheme="minorHAnsi" w:hAnsiTheme="minorHAnsi" w:cstheme="minorHAnsi"/>
          <w:sz w:val="18"/>
          <w:szCs w:val="18"/>
        </w:rPr>
        <w:t xml:space="preserve"> </w:t>
      </w:r>
      <w:proofErr w:type="spellStart"/>
      <w:r w:rsidRPr="00544161">
        <w:rPr>
          <w:rFonts w:asciiTheme="minorHAnsi" w:hAnsiTheme="minorHAnsi" w:cstheme="minorHAnsi"/>
          <w:sz w:val="18"/>
          <w:szCs w:val="18"/>
        </w:rPr>
        <w:t>schools</w:t>
      </w:r>
      <w:proofErr w:type="spellEnd"/>
    </w:p>
    <w:p w14:paraId="52B5EC7B" w14:textId="07EC2181" w:rsidR="00581D7C" w:rsidRDefault="00581D7C">
      <w:pPr>
        <w:spacing w:before="120"/>
        <w:jc w:val="center"/>
        <w:rPr>
          <w:rFonts w:asciiTheme="minorHAnsi" w:hAnsiTheme="minorHAnsi" w:cstheme="minorHAnsi"/>
          <w:sz w:val="18"/>
          <w:szCs w:val="18"/>
        </w:rPr>
      </w:pPr>
    </w:p>
    <w:p w14:paraId="08CDFF6C" w14:textId="77777777" w:rsidR="008C3F87" w:rsidRDefault="008C3F87">
      <w:pPr>
        <w:spacing w:before="120"/>
        <w:jc w:val="center"/>
        <w:rPr>
          <w:rFonts w:asciiTheme="minorHAnsi" w:hAnsiTheme="minorHAnsi" w:cstheme="minorHAnsi"/>
          <w:sz w:val="18"/>
          <w:szCs w:val="18"/>
        </w:rPr>
      </w:pPr>
      <w:bookmarkStart w:id="0" w:name="_GoBack"/>
      <w:bookmarkEnd w:id="0"/>
    </w:p>
    <w:p w14:paraId="5E407405" w14:textId="65B6EF51" w:rsidR="008C3F87" w:rsidRPr="00544161" w:rsidRDefault="008C3F87">
      <w:pPr>
        <w:spacing w:before="120"/>
        <w:jc w:val="center"/>
        <w:rPr>
          <w:rFonts w:asciiTheme="minorHAnsi" w:hAnsiTheme="minorHAnsi" w:cstheme="minorHAnsi"/>
          <w:sz w:val="18"/>
          <w:szCs w:val="18"/>
        </w:rPr>
      </w:pPr>
      <w:r>
        <w:rPr>
          <w:noProof/>
        </w:rPr>
        <w:drawing>
          <wp:inline distT="0" distB="0" distL="0" distR="0" wp14:anchorId="3607EAF1" wp14:editId="57FFB5BE">
            <wp:extent cx="6106795" cy="11804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6795" cy="1180465"/>
                    </a:xfrm>
                    <a:prstGeom prst="rect">
                      <a:avLst/>
                    </a:prstGeom>
                  </pic:spPr>
                </pic:pic>
              </a:graphicData>
            </a:graphic>
          </wp:inline>
        </w:drawing>
      </w:r>
    </w:p>
    <w:sectPr w:rsidR="008C3F87" w:rsidRPr="00544161">
      <w:footerReference w:type="default" r:id="rId14"/>
      <w:type w:val="continuous"/>
      <w:pgSz w:w="11906" w:h="16838"/>
      <w:pgMar w:top="993" w:right="849" w:bottom="851"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316E" w14:textId="77777777" w:rsidR="00950CCE" w:rsidRDefault="00950CCE">
      <w:pPr>
        <w:spacing w:line="240" w:lineRule="auto"/>
      </w:pPr>
      <w:r>
        <w:separator/>
      </w:r>
    </w:p>
  </w:endnote>
  <w:endnote w:type="continuationSeparator" w:id="0">
    <w:p w14:paraId="351CD9BE" w14:textId="77777777" w:rsidR="00950CCE" w:rsidRDefault="00950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3877" w14:textId="77777777" w:rsidR="005E62E5" w:rsidRDefault="005E62E5">
    <w:pPr>
      <w:jc w:val="right"/>
      <w:rPr>
        <w:sz w:val="18"/>
        <w:szCs w:val="18"/>
      </w:rPr>
    </w:pPr>
  </w:p>
  <w:p w14:paraId="62C7E430" w14:textId="235DABDE" w:rsidR="005E62E5" w:rsidRDefault="00B2035C">
    <w:pPr>
      <w:jc w:val="right"/>
      <w:rPr>
        <w:sz w:val="18"/>
        <w:szCs w:val="18"/>
      </w:rPr>
    </w:pPr>
    <w:r>
      <w:rPr>
        <w:sz w:val="18"/>
        <w:szCs w:val="18"/>
      </w:rPr>
      <w:t>© Association Positive Impact Rating, Lucerne, Suisse – 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1CCC7" w14:textId="77777777" w:rsidR="00950CCE" w:rsidRDefault="00950CCE">
      <w:pPr>
        <w:spacing w:line="240" w:lineRule="auto"/>
      </w:pPr>
      <w:r>
        <w:separator/>
      </w:r>
    </w:p>
  </w:footnote>
  <w:footnote w:type="continuationSeparator" w:id="0">
    <w:p w14:paraId="54CD0D93" w14:textId="77777777" w:rsidR="00950CCE" w:rsidRDefault="00950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20C"/>
    <w:multiLevelType w:val="hybridMultilevel"/>
    <w:tmpl w:val="8ADE0C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5F"/>
    <w:rsid w:val="0004087F"/>
    <w:rsid w:val="0004556D"/>
    <w:rsid w:val="0005134E"/>
    <w:rsid w:val="0005655F"/>
    <w:rsid w:val="000E2357"/>
    <w:rsid w:val="0024658B"/>
    <w:rsid w:val="00261BE3"/>
    <w:rsid w:val="00277DE4"/>
    <w:rsid w:val="002D3D7A"/>
    <w:rsid w:val="00310495"/>
    <w:rsid w:val="003623FD"/>
    <w:rsid w:val="00410634"/>
    <w:rsid w:val="004953CF"/>
    <w:rsid w:val="004B001D"/>
    <w:rsid w:val="004C5DA4"/>
    <w:rsid w:val="00544161"/>
    <w:rsid w:val="00581D7C"/>
    <w:rsid w:val="005A1884"/>
    <w:rsid w:val="005C6B5D"/>
    <w:rsid w:val="005D7CD8"/>
    <w:rsid w:val="005E62E5"/>
    <w:rsid w:val="00634D10"/>
    <w:rsid w:val="006624F7"/>
    <w:rsid w:val="00845ED7"/>
    <w:rsid w:val="0088465E"/>
    <w:rsid w:val="00896644"/>
    <w:rsid w:val="008C3F87"/>
    <w:rsid w:val="008F1A61"/>
    <w:rsid w:val="00950CCE"/>
    <w:rsid w:val="0096593F"/>
    <w:rsid w:val="00977569"/>
    <w:rsid w:val="0098485E"/>
    <w:rsid w:val="00A004FE"/>
    <w:rsid w:val="00A403FA"/>
    <w:rsid w:val="00AC34D1"/>
    <w:rsid w:val="00AD0C99"/>
    <w:rsid w:val="00B176D6"/>
    <w:rsid w:val="00B2035C"/>
    <w:rsid w:val="00B224B8"/>
    <w:rsid w:val="00B34B39"/>
    <w:rsid w:val="00BE4933"/>
    <w:rsid w:val="00C13FC4"/>
    <w:rsid w:val="00D7778E"/>
    <w:rsid w:val="00D82C26"/>
    <w:rsid w:val="00D83536"/>
    <w:rsid w:val="00D85CD7"/>
    <w:rsid w:val="00DE196B"/>
    <w:rsid w:val="00EA0692"/>
    <w:rsid w:val="00F2195D"/>
    <w:rsid w:val="00FB013A"/>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4181"/>
  <w15:chartTrackingRefBased/>
  <w15:docId w15:val="{D603ED98-6A0F-4440-B8C9-17D28E26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5F"/>
    <w:pPr>
      <w:spacing w:after="0" w:line="276" w:lineRule="auto"/>
      <w:jc w:val="both"/>
    </w:pPr>
    <w:rPr>
      <w:rFonts w:ascii="Source Sans Pro" w:hAnsi="Source Sans Pro"/>
      <w:sz w:val="21"/>
      <w:lang w:val="fr-FR"/>
    </w:rPr>
  </w:style>
  <w:style w:type="paragraph" w:styleId="Heading1">
    <w:name w:val="heading 1"/>
    <w:basedOn w:val="Normal"/>
    <w:next w:val="Normal"/>
    <w:link w:val="Heading1Char"/>
    <w:uiPriority w:val="9"/>
    <w:qFormat/>
    <w:rsid w:val="0005655F"/>
    <w:pPr>
      <w:spacing w:after="240" w:line="240" w:lineRule="auto"/>
      <w:outlineLvl w:val="0"/>
    </w:pPr>
    <w:rPr>
      <w:rFonts w:ascii="Bahnschrift SemiBold" w:eastAsia="Times New Roman" w:hAnsi="Bahnschrift SemiBold" w:cs="Arial"/>
      <w:b/>
      <w:bCs/>
      <w:color w:val="7F7F7F" w:themeColor="text1" w:themeTint="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55F"/>
    <w:rPr>
      <w:rFonts w:ascii="Bahnschrift SemiBold" w:eastAsia="Times New Roman" w:hAnsi="Bahnschrift SemiBold" w:cs="Arial"/>
      <w:b/>
      <w:bCs/>
      <w:color w:val="7F7F7F" w:themeColor="text1" w:themeTint="80"/>
      <w:sz w:val="36"/>
      <w:szCs w:val="36"/>
      <w:lang w:val="fr-FR"/>
    </w:rPr>
  </w:style>
  <w:style w:type="character" w:styleId="Hyperlink">
    <w:name w:val="Hyperlink"/>
    <w:basedOn w:val="DefaultParagraphFont"/>
    <w:uiPriority w:val="99"/>
    <w:unhideWhenUsed/>
    <w:rsid w:val="0005655F"/>
    <w:rPr>
      <w:color w:val="0000FF"/>
      <w:u w:val="single"/>
    </w:rPr>
  </w:style>
  <w:style w:type="paragraph" w:styleId="Footer">
    <w:name w:val="footer"/>
    <w:basedOn w:val="Normal"/>
    <w:link w:val="FooterChar"/>
    <w:uiPriority w:val="99"/>
    <w:unhideWhenUsed/>
    <w:rsid w:val="0005655F"/>
    <w:pPr>
      <w:tabs>
        <w:tab w:val="center" w:pos="4513"/>
        <w:tab w:val="right" w:pos="9026"/>
      </w:tabs>
      <w:spacing w:line="240" w:lineRule="auto"/>
    </w:pPr>
  </w:style>
  <w:style w:type="character" w:customStyle="1" w:styleId="FooterChar">
    <w:name w:val="Footer Char"/>
    <w:basedOn w:val="DefaultParagraphFont"/>
    <w:link w:val="Footer"/>
    <w:uiPriority w:val="99"/>
    <w:rsid w:val="0005655F"/>
    <w:rPr>
      <w:rFonts w:ascii="Source Sans Pro" w:hAnsi="Source Sans Pro"/>
      <w:sz w:val="21"/>
      <w:lang w:val="fr-FR"/>
    </w:rPr>
  </w:style>
  <w:style w:type="table" w:styleId="TableGrid">
    <w:name w:val="Table Grid"/>
    <w:basedOn w:val="TableNormal"/>
    <w:uiPriority w:val="39"/>
    <w:rsid w:val="00EA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692"/>
    <w:pPr>
      <w:spacing w:after="160" w:line="259"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EA0692"/>
    <w:pPr>
      <w:tabs>
        <w:tab w:val="center" w:pos="4513"/>
        <w:tab w:val="right" w:pos="9026"/>
      </w:tabs>
      <w:spacing w:line="240" w:lineRule="auto"/>
    </w:pPr>
  </w:style>
  <w:style w:type="character" w:customStyle="1" w:styleId="HeaderChar">
    <w:name w:val="Header Char"/>
    <w:basedOn w:val="DefaultParagraphFont"/>
    <w:link w:val="Header"/>
    <w:uiPriority w:val="99"/>
    <w:rsid w:val="00EA0692"/>
    <w:rPr>
      <w:rFonts w:ascii="Source Sans Pro" w:hAnsi="Source Sans Pro"/>
      <w:sz w:val="21"/>
      <w:lang w:val="fr-FR"/>
    </w:rPr>
  </w:style>
  <w:style w:type="character" w:styleId="UnresolvedMention">
    <w:name w:val="Unresolved Mention"/>
    <w:basedOn w:val="DefaultParagraphFont"/>
    <w:uiPriority w:val="99"/>
    <w:semiHidden/>
    <w:unhideWhenUsed/>
    <w:rsid w:val="00D7778E"/>
    <w:rPr>
      <w:color w:val="605E5C"/>
      <w:shd w:val="clear" w:color="auto" w:fill="E1DFDD"/>
    </w:rPr>
  </w:style>
  <w:style w:type="paragraph" w:styleId="BalloonText">
    <w:name w:val="Balloon Text"/>
    <w:basedOn w:val="Normal"/>
    <w:link w:val="BalloonTextChar"/>
    <w:uiPriority w:val="99"/>
    <w:semiHidden/>
    <w:unhideWhenUsed/>
    <w:rsid w:val="00277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E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7547">
      <w:bodyDiv w:val="1"/>
      <w:marLeft w:val="0"/>
      <w:marRight w:val="0"/>
      <w:marTop w:val="0"/>
      <w:marBottom w:val="0"/>
      <w:divBdr>
        <w:top w:val="none" w:sz="0" w:space="0" w:color="auto"/>
        <w:left w:val="none" w:sz="0" w:space="0" w:color="auto"/>
        <w:bottom w:val="none" w:sz="0" w:space="0" w:color="auto"/>
        <w:right w:val="none" w:sz="0" w:space="0" w:color="auto"/>
      </w:divBdr>
    </w:div>
    <w:div w:id="112989916">
      <w:bodyDiv w:val="1"/>
      <w:marLeft w:val="0"/>
      <w:marRight w:val="0"/>
      <w:marTop w:val="0"/>
      <w:marBottom w:val="0"/>
      <w:divBdr>
        <w:top w:val="none" w:sz="0" w:space="0" w:color="auto"/>
        <w:left w:val="none" w:sz="0" w:space="0" w:color="auto"/>
        <w:bottom w:val="none" w:sz="0" w:space="0" w:color="auto"/>
        <w:right w:val="none" w:sz="0" w:space="0" w:color="auto"/>
      </w:divBdr>
    </w:div>
    <w:div w:id="126171951">
      <w:bodyDiv w:val="1"/>
      <w:marLeft w:val="0"/>
      <w:marRight w:val="0"/>
      <w:marTop w:val="0"/>
      <w:marBottom w:val="0"/>
      <w:divBdr>
        <w:top w:val="none" w:sz="0" w:space="0" w:color="auto"/>
        <w:left w:val="none" w:sz="0" w:space="0" w:color="auto"/>
        <w:bottom w:val="none" w:sz="0" w:space="0" w:color="auto"/>
        <w:right w:val="none" w:sz="0" w:space="0" w:color="auto"/>
      </w:divBdr>
    </w:div>
    <w:div w:id="10908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rin.Muff@PositiveImpactRating.org" TargetMode="External"/><Relationship Id="rId4" Type="http://schemas.openxmlformats.org/officeDocument/2006/relationships/settings" Target="settings.xml"/><Relationship Id="rId9" Type="http://schemas.openxmlformats.org/officeDocument/2006/relationships/hyperlink" Target="http://www.PositiveImpactRat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6615-C2D4-4B4F-BB5A-8F8A18E3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10582</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Muff</dc:creator>
  <cp:keywords/>
  <dc:description/>
  <cp:lastModifiedBy>Katrin Muff</cp:lastModifiedBy>
  <cp:revision>2</cp:revision>
  <cp:lastPrinted>2020-01-14T18:09:00Z</cp:lastPrinted>
  <dcterms:created xsi:type="dcterms:W3CDTF">2020-01-20T15:19:00Z</dcterms:created>
  <dcterms:modified xsi:type="dcterms:W3CDTF">2020-01-20T15:19:00Z</dcterms:modified>
</cp:coreProperties>
</file>